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7C4B1" w14:textId="5058E8F6" w:rsidR="00A218AE" w:rsidRPr="00E37BFF" w:rsidRDefault="004E669E" w:rsidP="00C1518D">
      <w:pPr>
        <w:spacing w:line="240" w:lineRule="auto"/>
        <w:jc w:val="center"/>
        <w:rPr>
          <w:rFonts w:ascii="Nunito" w:hAnsi="Nunito"/>
          <w:b/>
          <w:bCs/>
          <w:sz w:val="20"/>
          <w:szCs w:val="20"/>
        </w:rPr>
      </w:pPr>
      <w:r w:rsidRPr="00E37BFF">
        <w:rPr>
          <w:rFonts w:ascii="Nunito" w:hAnsi="Nunito"/>
          <w:b/>
          <w:bCs/>
          <w:sz w:val="20"/>
          <w:szCs w:val="20"/>
        </w:rPr>
        <w:t xml:space="preserve">Anexo </w:t>
      </w:r>
      <w:r w:rsidR="588FCB4F" w:rsidRPr="00E37BFF">
        <w:rPr>
          <w:rFonts w:ascii="Nunito" w:hAnsi="Nunito"/>
          <w:b/>
          <w:bCs/>
          <w:sz w:val="20"/>
          <w:szCs w:val="20"/>
        </w:rPr>
        <w:t>4</w:t>
      </w:r>
      <w:r w:rsidRPr="00E37BFF">
        <w:rPr>
          <w:rFonts w:ascii="Nunito" w:hAnsi="Nunito"/>
          <w:b/>
          <w:bCs/>
          <w:sz w:val="20"/>
          <w:szCs w:val="20"/>
        </w:rPr>
        <w:t xml:space="preserve"> </w:t>
      </w:r>
      <w:r w:rsidR="695701DF" w:rsidRPr="00E37BFF">
        <w:rPr>
          <w:rFonts w:ascii="Nunito" w:eastAsia="Nunito" w:hAnsi="Nunito" w:cs="Nunito"/>
          <w:b/>
          <w:bCs/>
          <w:sz w:val="20"/>
          <w:szCs w:val="20"/>
          <w:lang w:val="es"/>
        </w:rPr>
        <w:t xml:space="preserve">– </w:t>
      </w:r>
      <w:r w:rsidRPr="00E37BFF">
        <w:rPr>
          <w:rFonts w:ascii="Nunito" w:hAnsi="Nunito"/>
          <w:b/>
          <w:bCs/>
          <w:sz w:val="20"/>
          <w:szCs w:val="20"/>
        </w:rPr>
        <w:t>Determinación de tamaño de la muestra</w:t>
      </w:r>
    </w:p>
    <w:p w14:paraId="5211B542" w14:textId="73B015A6" w:rsidR="00A218AE" w:rsidRPr="00E37BFF" w:rsidRDefault="00A218AE" w:rsidP="00C1518D">
      <w:pPr>
        <w:spacing w:line="240" w:lineRule="auto"/>
        <w:jc w:val="both"/>
        <w:rPr>
          <w:rFonts w:ascii="Nunito" w:hAnsi="Nunito"/>
          <w:sz w:val="20"/>
          <w:szCs w:val="20"/>
        </w:rPr>
      </w:pPr>
      <w:r w:rsidRPr="00E37BFF">
        <w:rPr>
          <w:rFonts w:ascii="Nunito" w:hAnsi="Nunito"/>
          <w:sz w:val="20"/>
          <w:szCs w:val="20"/>
        </w:rPr>
        <w:t>La determinación del tamaño de muestra es un elemento que permite asegurar que los resultados obtenidos sean representativos y que puedan inferirse con un alto grado de precisión. Se pretende que con la muestra obtenida minimizar el error de muestreo y garantizar la validez estadística de las visitas a ser realizadas.</w:t>
      </w:r>
    </w:p>
    <w:p w14:paraId="607224AE" w14:textId="3519B963" w:rsidR="00A218AE" w:rsidRPr="00E37BFF" w:rsidRDefault="00A218AE" w:rsidP="00C1518D">
      <w:pPr>
        <w:spacing w:before="240" w:line="240" w:lineRule="auto"/>
        <w:jc w:val="both"/>
        <w:rPr>
          <w:rFonts w:ascii="Nunito" w:hAnsi="Nunito"/>
          <w:sz w:val="20"/>
          <w:szCs w:val="20"/>
        </w:rPr>
      </w:pPr>
      <w:r w:rsidRPr="00E37BFF">
        <w:rPr>
          <w:rFonts w:ascii="Nunito" w:hAnsi="Nunito"/>
          <w:sz w:val="20"/>
          <w:szCs w:val="20"/>
        </w:rPr>
        <w:t xml:space="preserve">El cálculo del tamaño de muestra necesario para las visitas a ser realizadas en el marco del convenio con el Fondo Todos Somos </w:t>
      </w:r>
      <w:proofErr w:type="spellStart"/>
      <w:r w:rsidRPr="00E37BFF">
        <w:rPr>
          <w:rFonts w:ascii="Nunito" w:hAnsi="Nunito"/>
          <w:sz w:val="20"/>
          <w:szCs w:val="20"/>
        </w:rPr>
        <w:t>Pazcifico</w:t>
      </w:r>
      <w:proofErr w:type="spellEnd"/>
      <w:r w:rsidRPr="00E37BFF">
        <w:rPr>
          <w:rFonts w:ascii="Nunito" w:hAnsi="Nunito"/>
          <w:sz w:val="20"/>
          <w:szCs w:val="20"/>
        </w:rPr>
        <w:t>, se empleará una fórmula específica que contempla el caso de una población finita</w:t>
      </w:r>
      <w:r w:rsidR="00D8009E" w:rsidRPr="00E37BFF">
        <w:rPr>
          <w:rFonts w:ascii="Nunito" w:hAnsi="Nunito"/>
          <w:sz w:val="20"/>
          <w:szCs w:val="20"/>
        </w:rPr>
        <w:t xml:space="preserve"> con </w:t>
      </w:r>
      <w:r w:rsidR="00AC161A" w:rsidRPr="00E37BFF">
        <w:rPr>
          <w:rFonts w:ascii="Nunito" w:hAnsi="Nunito"/>
          <w:sz w:val="20"/>
          <w:szCs w:val="20"/>
        </w:rPr>
        <w:t>reemplazo</w:t>
      </w:r>
      <w:r w:rsidRPr="00E37BFF">
        <w:rPr>
          <w:rFonts w:ascii="Nunito" w:hAnsi="Nunito"/>
          <w:sz w:val="20"/>
          <w:szCs w:val="20"/>
        </w:rPr>
        <w:t xml:space="preserve">. </w:t>
      </w:r>
    </w:p>
    <w:p w14:paraId="2E56EF62" w14:textId="10B75E0C" w:rsidR="00A218AE" w:rsidRPr="00E37BFF" w:rsidRDefault="00A218AE" w:rsidP="00C1518D">
      <w:pPr>
        <w:spacing w:before="240" w:line="240" w:lineRule="auto"/>
        <w:jc w:val="both"/>
        <w:rPr>
          <w:rFonts w:ascii="Nunito" w:hAnsi="Nunito"/>
          <w:sz w:val="20"/>
          <w:szCs w:val="20"/>
        </w:rPr>
      </w:pPr>
      <w:r w:rsidRPr="00E37BFF">
        <w:rPr>
          <w:rFonts w:ascii="Nunito" w:hAnsi="Nunito"/>
          <w:sz w:val="20"/>
          <w:szCs w:val="20"/>
        </w:rPr>
        <w:t>La utilización de la siguiente metodología busca asegurar la fiabilidad y validez de los datos recopilados en las visitas a ser realizadas, así como para garantizar que las conclusiones derivadas</w:t>
      </w:r>
      <w:r w:rsidR="00CA7A08" w:rsidRPr="00E37BFF">
        <w:rPr>
          <w:rFonts w:ascii="Nunito" w:hAnsi="Nunito"/>
          <w:sz w:val="20"/>
          <w:szCs w:val="20"/>
        </w:rPr>
        <w:t xml:space="preserve"> sean correctas</w:t>
      </w:r>
      <w:r w:rsidRPr="00E37BFF">
        <w:rPr>
          <w:rFonts w:ascii="Nunito" w:hAnsi="Nunito"/>
          <w:sz w:val="20"/>
          <w:szCs w:val="20"/>
        </w:rPr>
        <w:t>.</w:t>
      </w:r>
    </w:p>
    <w:p w14:paraId="559B1D28" w14:textId="045E7216" w:rsidR="00803E40" w:rsidRPr="00E37BFF" w:rsidRDefault="00A218AE" w:rsidP="00C1518D">
      <w:pPr>
        <w:spacing w:line="240" w:lineRule="auto"/>
        <w:jc w:val="both"/>
        <w:rPr>
          <w:rFonts w:ascii="Nunito" w:hAnsi="Nunito"/>
          <w:sz w:val="20"/>
          <w:szCs w:val="20"/>
        </w:rPr>
      </w:pPr>
      <w:r w:rsidRPr="00E37BFF">
        <w:rPr>
          <w:rFonts w:ascii="Nunito" w:hAnsi="Nunito"/>
          <w:sz w:val="20"/>
          <w:szCs w:val="20"/>
        </w:rPr>
        <w:t>Para la determinación de esta muestra se usa la formula asumiendo que la muestra se comporta como una normal estándar.</w:t>
      </w:r>
      <w:r w:rsidR="00803E40" w:rsidRPr="00E37BFF">
        <w:rPr>
          <w:rFonts w:ascii="Nunito" w:hAnsi="Nunito"/>
          <w:sz w:val="20"/>
          <w:szCs w:val="20"/>
        </w:rPr>
        <w:t xml:space="preserve"> El empleo de la distribución normal estándar en la determinación del tamaño de muestra debido a que permite la estimación de intervalos de confianza y la realización de pruebas de hipótesis de una manera más efectiva debido a lo siguiente:</w:t>
      </w:r>
    </w:p>
    <w:p w14:paraId="3ABA71EE" w14:textId="6FEAC268" w:rsidR="00803E40" w:rsidRPr="00E37BFF" w:rsidRDefault="00803E40" w:rsidP="00C1518D">
      <w:pPr>
        <w:spacing w:line="240" w:lineRule="auto"/>
        <w:jc w:val="both"/>
        <w:rPr>
          <w:rFonts w:ascii="Nunito" w:hAnsi="Nunito"/>
          <w:b/>
          <w:bCs/>
          <w:sz w:val="20"/>
          <w:szCs w:val="20"/>
        </w:rPr>
      </w:pPr>
      <w:r w:rsidRPr="00E37BFF">
        <w:rPr>
          <w:rFonts w:ascii="Nunito" w:hAnsi="Nunito"/>
          <w:b/>
          <w:bCs/>
          <w:sz w:val="20"/>
          <w:szCs w:val="20"/>
        </w:rPr>
        <w:t>1. Propiedades de la Distribución Normal</w:t>
      </w:r>
    </w:p>
    <w:p w14:paraId="1DB18E9B" w14:textId="04CFAAB5" w:rsidR="00803E40" w:rsidRPr="00E37BFF" w:rsidRDefault="00803E40" w:rsidP="00C1518D">
      <w:pPr>
        <w:spacing w:line="240" w:lineRule="auto"/>
        <w:jc w:val="both"/>
        <w:rPr>
          <w:rFonts w:ascii="Nunito" w:hAnsi="Nunito"/>
          <w:sz w:val="20"/>
          <w:szCs w:val="20"/>
        </w:rPr>
      </w:pPr>
      <w:r w:rsidRPr="00E37BFF">
        <w:rPr>
          <w:rFonts w:ascii="Nunito" w:hAnsi="Nunito"/>
          <w:sz w:val="20"/>
          <w:szCs w:val="20"/>
        </w:rPr>
        <w:t>La distribución normal estándar, caracterizada por una media de cero y una desviación estándar de uno, se usa debido a sus propiedades matemáticas precisas y simétricas. Su forma de campana facilita el cálculo de probabilidades y la determinación de áreas bajo la curva, lo anterior permitiendo el establecimiento de intervalos de confianza y la ejecución de pruebas de hipótesis.</w:t>
      </w:r>
    </w:p>
    <w:p w14:paraId="26119745" w14:textId="7BD4D46C" w:rsidR="00803E40" w:rsidRPr="00E37BFF" w:rsidRDefault="00803E40" w:rsidP="00C1518D">
      <w:pPr>
        <w:spacing w:line="240" w:lineRule="auto"/>
        <w:jc w:val="both"/>
        <w:rPr>
          <w:rFonts w:ascii="Nunito" w:hAnsi="Nunito"/>
          <w:b/>
          <w:bCs/>
          <w:sz w:val="20"/>
          <w:szCs w:val="20"/>
        </w:rPr>
      </w:pPr>
      <w:r w:rsidRPr="00E37BFF">
        <w:rPr>
          <w:rFonts w:ascii="Nunito" w:hAnsi="Nunito"/>
          <w:b/>
          <w:bCs/>
          <w:sz w:val="20"/>
          <w:szCs w:val="20"/>
        </w:rPr>
        <w:t>2. Aplicación del Teorema Central del Límite</w:t>
      </w:r>
    </w:p>
    <w:p w14:paraId="0BE4F2CF" w14:textId="77777777" w:rsidR="00803E40" w:rsidRPr="00E37BFF" w:rsidRDefault="00803E40" w:rsidP="00C1518D">
      <w:pPr>
        <w:spacing w:line="240" w:lineRule="auto"/>
        <w:jc w:val="both"/>
        <w:rPr>
          <w:rFonts w:ascii="Nunito" w:hAnsi="Nunito"/>
          <w:sz w:val="20"/>
          <w:szCs w:val="20"/>
        </w:rPr>
      </w:pPr>
      <w:r w:rsidRPr="00E37BFF">
        <w:rPr>
          <w:rFonts w:ascii="Nunito" w:hAnsi="Nunito"/>
          <w:sz w:val="20"/>
          <w:szCs w:val="20"/>
        </w:rPr>
        <w:t>Según el Teorema Central del Límite, la distribución de las medias muestrales se aproxima a una distribución normal a medida que el tamaño de la muestra aumenta, independientemente de la distribución original de la población. Esta propiedad permite la utilización de la distribución normal estándar para realizar inferencias estadísticas a partir de muestras de tamaño considerable, lo que facilita la estimación de parámetros poblacionales.</w:t>
      </w:r>
    </w:p>
    <w:p w14:paraId="62689CA8" w14:textId="55061AC5" w:rsidR="00803E40" w:rsidRPr="00E37BFF" w:rsidRDefault="00803E40" w:rsidP="00C1518D">
      <w:pPr>
        <w:spacing w:line="240" w:lineRule="auto"/>
        <w:jc w:val="both"/>
        <w:rPr>
          <w:rFonts w:ascii="Nunito" w:hAnsi="Nunito"/>
          <w:b/>
          <w:bCs/>
          <w:sz w:val="20"/>
          <w:szCs w:val="20"/>
        </w:rPr>
      </w:pPr>
      <w:r w:rsidRPr="00E37BFF">
        <w:rPr>
          <w:rFonts w:ascii="Nunito" w:hAnsi="Nunito"/>
          <w:b/>
          <w:bCs/>
          <w:sz w:val="20"/>
          <w:szCs w:val="20"/>
        </w:rPr>
        <w:t>3. Estandarización y Facilidad de Cálculo</w:t>
      </w:r>
    </w:p>
    <w:p w14:paraId="624EC334" w14:textId="3AF1BC2C" w:rsidR="00803E40" w:rsidRPr="00E37BFF" w:rsidRDefault="00803E40" w:rsidP="00C1518D">
      <w:pPr>
        <w:spacing w:line="240" w:lineRule="auto"/>
        <w:jc w:val="both"/>
        <w:rPr>
          <w:rFonts w:ascii="Nunito" w:hAnsi="Nunito"/>
          <w:sz w:val="20"/>
          <w:szCs w:val="20"/>
        </w:rPr>
      </w:pPr>
      <w:r w:rsidRPr="00E37BFF">
        <w:rPr>
          <w:rFonts w:ascii="Nunito" w:hAnsi="Nunito"/>
          <w:sz w:val="20"/>
          <w:szCs w:val="20"/>
        </w:rPr>
        <w:t>La normalización de datos mediante su conversión a la distribución normal estándar simplifica los cálculos estadísticos y permite la comparabilidad entre distintos conjuntos de datos. Los valores críticos asociados a la distribución normal estándar, como aquellos correspondientes a niveles de confianza habituales son de conocimiento general, lo cual estandariza el proceso de determinación de intervalos de confianza y facilita la comunicación de resultados de manera clara y consistente.</w:t>
      </w:r>
    </w:p>
    <w:p w14:paraId="5704CD21" w14:textId="57CCD9E9" w:rsidR="00803E40" w:rsidRPr="00E37BFF" w:rsidRDefault="00803E40" w:rsidP="00C1518D">
      <w:pPr>
        <w:spacing w:line="240" w:lineRule="auto"/>
        <w:jc w:val="both"/>
        <w:rPr>
          <w:rFonts w:ascii="Nunito" w:hAnsi="Nunito"/>
          <w:b/>
          <w:bCs/>
          <w:sz w:val="20"/>
          <w:szCs w:val="20"/>
        </w:rPr>
      </w:pPr>
      <w:r w:rsidRPr="00E37BFF">
        <w:rPr>
          <w:rFonts w:ascii="Nunito" w:hAnsi="Nunito"/>
          <w:b/>
          <w:bCs/>
          <w:sz w:val="20"/>
          <w:szCs w:val="20"/>
        </w:rPr>
        <w:lastRenderedPageBreak/>
        <w:t>4. Precisión en la Estimación de Parámetros</w:t>
      </w:r>
    </w:p>
    <w:p w14:paraId="6E3E3E29" w14:textId="77777777" w:rsidR="00803E40" w:rsidRPr="00E37BFF" w:rsidRDefault="00803E40" w:rsidP="00C1518D">
      <w:pPr>
        <w:spacing w:line="240" w:lineRule="auto"/>
        <w:jc w:val="both"/>
        <w:rPr>
          <w:rFonts w:ascii="Nunito" w:hAnsi="Nunito"/>
          <w:sz w:val="20"/>
          <w:szCs w:val="20"/>
        </w:rPr>
      </w:pPr>
      <w:r w:rsidRPr="00E37BFF">
        <w:rPr>
          <w:rFonts w:ascii="Nunito" w:hAnsi="Nunito"/>
          <w:sz w:val="20"/>
          <w:szCs w:val="20"/>
        </w:rPr>
        <w:t>La adopción de la distribución normal estándar posibilita una estimación precisa de los parámetros poblacionales, especialmente en el caso de muestras grandes. Esto se debe a que la estructura de la distribución normal permite cuantificar de manera precisa la incertidumbre asociada a las estimaciones, facilitando así la determinación de márgenes de error exactos y confiables.</w:t>
      </w:r>
    </w:p>
    <w:p w14:paraId="04886715" w14:textId="5193D03B" w:rsidR="00803E40" w:rsidRPr="00E37BFF" w:rsidRDefault="008A603D" w:rsidP="00C1518D">
      <w:pPr>
        <w:spacing w:line="240" w:lineRule="auto"/>
        <w:jc w:val="both"/>
        <w:rPr>
          <w:rFonts w:ascii="Nunito" w:hAnsi="Nunito"/>
          <w:sz w:val="20"/>
          <w:szCs w:val="20"/>
        </w:rPr>
      </w:pPr>
      <w:r w:rsidRPr="00E37BFF">
        <w:rPr>
          <w:rFonts w:ascii="Nunito" w:hAnsi="Nunito"/>
          <w:sz w:val="20"/>
          <w:szCs w:val="20"/>
        </w:rPr>
        <w:t>La</w:t>
      </w:r>
      <w:r w:rsidR="00803E40" w:rsidRPr="00E37BFF">
        <w:rPr>
          <w:rFonts w:ascii="Nunito" w:hAnsi="Nunito"/>
          <w:sz w:val="20"/>
          <w:szCs w:val="20"/>
        </w:rPr>
        <w:t xml:space="preserve"> fórmula de la normal para la determinación del tamaño de la muestra a ser usada es la </w:t>
      </w:r>
      <w:r w:rsidR="002969C1" w:rsidRPr="00E37BFF">
        <w:rPr>
          <w:rFonts w:ascii="Nunito" w:hAnsi="Nunito"/>
          <w:sz w:val="20"/>
          <w:szCs w:val="20"/>
        </w:rPr>
        <w:t>siguiente:</w:t>
      </w:r>
    </w:p>
    <w:p w14:paraId="630AD777" w14:textId="45B76799" w:rsidR="00803E40" w:rsidRPr="00E37BFF" w:rsidRDefault="004E669E" w:rsidP="00C1518D">
      <w:pPr>
        <w:spacing w:line="240" w:lineRule="auto"/>
        <w:jc w:val="both"/>
        <w:rPr>
          <w:rFonts w:ascii="Nunito" w:hAnsi="Nunito"/>
          <w:b/>
          <w:bCs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n=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σ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N-1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σ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bSup>
            </m:den>
          </m:f>
        </m:oMath>
      </m:oMathPara>
    </w:p>
    <w:p w14:paraId="3F6583B1" w14:textId="360B051B" w:rsidR="00803E40" w:rsidRPr="00E37BFF" w:rsidRDefault="001D47DF" w:rsidP="00C1518D">
      <w:pPr>
        <w:spacing w:line="240" w:lineRule="auto"/>
        <w:jc w:val="both"/>
        <w:rPr>
          <w:rFonts w:ascii="Nunito" w:hAnsi="Nunito"/>
          <w:sz w:val="20"/>
          <w:szCs w:val="20"/>
        </w:rPr>
      </w:pPr>
      <w:r w:rsidRPr="00E37BFF">
        <w:rPr>
          <w:rFonts w:ascii="Nunito" w:hAnsi="Nunito"/>
          <w:sz w:val="20"/>
          <w:szCs w:val="20"/>
        </w:rPr>
        <w:t>Donde:</w:t>
      </w:r>
    </w:p>
    <w:p w14:paraId="57CF128F" w14:textId="2DCFBF18" w:rsidR="00A218AE" w:rsidRPr="00E37BFF" w:rsidRDefault="004E669E" w:rsidP="00C1518D">
      <w:pPr>
        <w:spacing w:line="240" w:lineRule="auto"/>
        <w:jc w:val="both"/>
        <w:rPr>
          <w:rFonts w:ascii="Nunito" w:hAnsi="Nunito"/>
          <w:sz w:val="20"/>
          <w:szCs w:val="20"/>
        </w:rPr>
      </w:pP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N</m:t>
        </m:r>
      </m:oMath>
      <w:r w:rsidR="00A218AE" w:rsidRPr="00E37BFF">
        <w:rPr>
          <w:rFonts w:ascii="Nunito" w:hAnsi="Nunito"/>
          <w:b/>
          <w:bCs/>
          <w:sz w:val="20"/>
          <w:szCs w:val="20"/>
        </w:rPr>
        <w:t>:</w:t>
      </w:r>
      <w:r w:rsidR="00A218AE" w:rsidRPr="00E37BFF">
        <w:rPr>
          <w:rFonts w:ascii="Nunito" w:hAnsi="Nunito"/>
          <w:sz w:val="20"/>
          <w:szCs w:val="20"/>
        </w:rPr>
        <w:t xml:space="preserve"> Representa el tamaño de la población total, es decir, el número total de elementos en la población de interés.</w:t>
      </w:r>
      <w:r w:rsidR="001D47DF" w:rsidRPr="00E37BFF">
        <w:rPr>
          <w:rFonts w:ascii="Nunito" w:hAnsi="Nunito"/>
          <w:sz w:val="20"/>
          <w:szCs w:val="20"/>
        </w:rPr>
        <w:t xml:space="preserve"> </w:t>
      </w:r>
    </w:p>
    <w:p w14:paraId="4F2A2B7B" w14:textId="15E2C933" w:rsidR="00A218AE" w:rsidRPr="00E37BFF" w:rsidRDefault="00C1518D" w:rsidP="00C1518D">
      <w:pPr>
        <w:spacing w:line="240" w:lineRule="auto"/>
        <w:jc w:val="both"/>
        <w:rPr>
          <w:rFonts w:ascii="Nunito" w:hAnsi="Nunito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σ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 w:rsidR="001D47DF" w:rsidRPr="00E37BFF">
        <w:rPr>
          <w:rFonts w:ascii="Nunito" w:eastAsiaTheme="minorEastAsia" w:hAnsi="Nunito"/>
          <w:b/>
          <w:bCs/>
          <w:sz w:val="20"/>
          <w:szCs w:val="20"/>
        </w:rPr>
        <w:t>:</w:t>
      </w:r>
      <w:r w:rsidR="00A218AE" w:rsidRPr="00E37BFF">
        <w:rPr>
          <w:rFonts w:ascii="Nunito" w:hAnsi="Nunito"/>
          <w:sz w:val="20"/>
          <w:szCs w:val="20"/>
        </w:rPr>
        <w:t xml:space="preserve"> Corresponde a la varianza de la población, que mide la dispersión de los datos en la población.</w:t>
      </w:r>
      <w:r w:rsidR="001D47DF" w:rsidRPr="00E37BFF">
        <w:rPr>
          <w:rFonts w:ascii="Nunito" w:hAnsi="Nunito"/>
          <w:sz w:val="20"/>
          <w:szCs w:val="20"/>
        </w:rPr>
        <w:t xml:space="preserve"> </w:t>
      </w:r>
    </w:p>
    <w:p w14:paraId="7C5BAB11" w14:textId="3E1A1070" w:rsidR="00A218AE" w:rsidRPr="00E37BFF" w:rsidRDefault="00C1518D" w:rsidP="00C1518D">
      <w:pPr>
        <w:spacing w:line="240" w:lineRule="auto"/>
        <w:jc w:val="both"/>
        <w:rPr>
          <w:rFonts w:ascii="Nunito" w:hAnsi="Nunito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α</m:t>
            </m:r>
          </m:sub>
        </m:sSub>
      </m:oMath>
      <w:r w:rsidR="00A218AE" w:rsidRPr="00E37BFF">
        <w:rPr>
          <w:rFonts w:ascii="Nunito" w:hAnsi="Nunito"/>
          <w:b/>
          <w:bCs/>
          <w:sz w:val="20"/>
          <w:szCs w:val="20"/>
        </w:rPr>
        <w:t>:</w:t>
      </w:r>
      <w:r w:rsidR="00A218AE" w:rsidRPr="00E37BFF">
        <w:rPr>
          <w:rFonts w:ascii="Nunito" w:hAnsi="Nunito"/>
          <w:sz w:val="20"/>
          <w:szCs w:val="20"/>
        </w:rPr>
        <w:t xml:space="preserve"> Es el valor crítico de la distribución normal estándar asociado con el nivel de confianza deseado.</w:t>
      </w:r>
      <w:r w:rsidR="001D47DF" w:rsidRPr="00E37BFF">
        <w:rPr>
          <w:rFonts w:ascii="Nunito" w:hAnsi="Nunito"/>
          <w:sz w:val="20"/>
          <w:szCs w:val="20"/>
        </w:rPr>
        <w:t xml:space="preserve"> </w:t>
      </w:r>
    </w:p>
    <w:p w14:paraId="25DB2D50" w14:textId="08F5777A" w:rsidR="00A218AE" w:rsidRPr="00E37BFF" w:rsidRDefault="004E669E" w:rsidP="00C1518D">
      <w:pPr>
        <w:spacing w:line="240" w:lineRule="auto"/>
        <w:jc w:val="both"/>
        <w:rPr>
          <w:rFonts w:ascii="Nunito" w:hAnsi="Nunito"/>
          <w:sz w:val="20"/>
          <w:szCs w:val="20"/>
        </w:rPr>
      </w:pP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e</m:t>
        </m:r>
      </m:oMath>
      <w:r w:rsidR="00A218AE" w:rsidRPr="00E37BFF">
        <w:rPr>
          <w:rFonts w:ascii="Nunito" w:hAnsi="Nunito"/>
          <w:b/>
          <w:bCs/>
          <w:sz w:val="20"/>
          <w:szCs w:val="20"/>
        </w:rPr>
        <w:t>:</w:t>
      </w:r>
      <w:r w:rsidR="00A218AE" w:rsidRPr="00E37BFF">
        <w:rPr>
          <w:rFonts w:ascii="Nunito" w:hAnsi="Nunito"/>
          <w:sz w:val="20"/>
          <w:szCs w:val="20"/>
        </w:rPr>
        <w:t xml:space="preserve"> Representa el margen de error aceptable, que es la tolerancia máxima para la diferencia entre la media estimada de la muestra y la media verdadera de la población.</w:t>
      </w:r>
      <w:r w:rsidR="001D47DF" w:rsidRPr="00E37BFF">
        <w:rPr>
          <w:rFonts w:ascii="Nunito" w:hAnsi="Nunito"/>
          <w:sz w:val="20"/>
          <w:szCs w:val="20"/>
        </w:rPr>
        <w:t xml:space="preserve"> </w:t>
      </w:r>
    </w:p>
    <w:p w14:paraId="6965C76D" w14:textId="77777777" w:rsidR="00A218AE" w:rsidRPr="00E37BFF" w:rsidRDefault="00A218AE" w:rsidP="00C1518D">
      <w:pPr>
        <w:spacing w:line="240" w:lineRule="auto"/>
        <w:jc w:val="both"/>
        <w:rPr>
          <w:rFonts w:ascii="Nunito" w:hAnsi="Nunito"/>
          <w:sz w:val="20"/>
          <w:szCs w:val="20"/>
        </w:rPr>
      </w:pPr>
      <w:r w:rsidRPr="00E37BFF">
        <w:rPr>
          <w:rFonts w:ascii="Nunito" w:hAnsi="Nunito"/>
          <w:sz w:val="20"/>
          <w:szCs w:val="20"/>
        </w:rPr>
        <w:t>El cociente entre el numerador y el denominador ajusta el tamaño de muestra requerido para asegurar que la muestra sea representativa de la población con un nivel de precisión y confianza definidos.</w:t>
      </w:r>
    </w:p>
    <w:p w14:paraId="14EEC0E6" w14:textId="041B9385" w:rsidR="008A603D" w:rsidRPr="00E37BFF" w:rsidRDefault="008A603D" w:rsidP="00C1518D">
      <w:pPr>
        <w:spacing w:line="240" w:lineRule="auto"/>
        <w:jc w:val="both"/>
        <w:rPr>
          <w:rFonts w:ascii="Nunito" w:hAnsi="Nunito"/>
          <w:sz w:val="20"/>
          <w:szCs w:val="20"/>
        </w:rPr>
      </w:pPr>
      <w:r w:rsidRPr="00E37BFF">
        <w:rPr>
          <w:rFonts w:ascii="Nunito" w:hAnsi="Nunito"/>
          <w:sz w:val="20"/>
          <w:szCs w:val="20"/>
        </w:rPr>
        <w:t xml:space="preserve">Ahora bien, en virtud del </w:t>
      </w:r>
      <w:r w:rsidR="00CA645F" w:rsidRPr="00E37BFF">
        <w:rPr>
          <w:rFonts w:ascii="Nunito" w:hAnsi="Nunito"/>
          <w:sz w:val="20"/>
          <w:szCs w:val="20"/>
        </w:rPr>
        <w:t>convenio de cooperación</w:t>
      </w:r>
      <w:r w:rsidRPr="00E37BFF">
        <w:rPr>
          <w:rFonts w:ascii="Nunito" w:hAnsi="Nunito"/>
          <w:sz w:val="20"/>
          <w:szCs w:val="20"/>
        </w:rPr>
        <w:t xml:space="preserve"> </w:t>
      </w:r>
      <w:r w:rsidR="008A2993" w:rsidRPr="00E37BFF">
        <w:rPr>
          <w:rFonts w:ascii="Nunito" w:hAnsi="Nunito"/>
          <w:sz w:val="20"/>
          <w:szCs w:val="20"/>
        </w:rPr>
        <w:t xml:space="preserve">80905-026-2019 con el Fondo Todos Somos Pazcífico, y con el objetivo de </w:t>
      </w:r>
      <w:r w:rsidR="00A73DBC" w:rsidRPr="00E37BFF">
        <w:rPr>
          <w:rFonts w:ascii="Nunito" w:hAnsi="Nunito"/>
          <w:sz w:val="20"/>
          <w:szCs w:val="20"/>
        </w:rPr>
        <w:t xml:space="preserve">determinar la muestra que me permita definir que las </w:t>
      </w:r>
      <w:r w:rsidR="00300D22" w:rsidRPr="00E37BFF">
        <w:rPr>
          <w:rFonts w:ascii="Nunito" w:hAnsi="Nunito"/>
          <w:sz w:val="20"/>
          <w:szCs w:val="20"/>
        </w:rPr>
        <w:t>instalaciones</w:t>
      </w:r>
      <w:r w:rsidR="00A73DBC" w:rsidRPr="00E37BFF">
        <w:rPr>
          <w:rFonts w:ascii="Nunito" w:hAnsi="Nunito"/>
          <w:sz w:val="20"/>
          <w:szCs w:val="20"/>
        </w:rPr>
        <w:t xml:space="preserve"> derivadas </w:t>
      </w:r>
      <w:r w:rsidR="00CA645F" w:rsidRPr="00E37BFF">
        <w:rPr>
          <w:rFonts w:ascii="Nunito" w:hAnsi="Nunito"/>
          <w:sz w:val="20"/>
          <w:szCs w:val="20"/>
        </w:rPr>
        <w:t xml:space="preserve">del convenio </w:t>
      </w:r>
      <w:r w:rsidR="00300D22" w:rsidRPr="00E37BFF">
        <w:rPr>
          <w:rFonts w:ascii="Nunito" w:hAnsi="Nunito"/>
          <w:sz w:val="20"/>
          <w:szCs w:val="20"/>
        </w:rPr>
        <w:t>se encuentran c</w:t>
      </w:r>
      <w:r w:rsidR="00846EFA" w:rsidRPr="00E37BFF">
        <w:rPr>
          <w:rFonts w:ascii="Nunito" w:hAnsi="Nunito"/>
          <w:sz w:val="20"/>
          <w:szCs w:val="20"/>
        </w:rPr>
        <w:t>orrectas se determinan las variables de la siguiente manera:</w:t>
      </w:r>
    </w:p>
    <w:p w14:paraId="53699980" w14:textId="195A2A81" w:rsidR="00846EFA" w:rsidRPr="00E37BFF" w:rsidRDefault="00846EFA" w:rsidP="00C1518D">
      <w:pPr>
        <w:spacing w:line="240" w:lineRule="auto"/>
        <w:jc w:val="both"/>
        <w:rPr>
          <w:rFonts w:ascii="Nunito" w:hAnsi="Nunito"/>
          <w:sz w:val="20"/>
          <w:szCs w:val="20"/>
        </w:rPr>
      </w:pP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N</m:t>
        </m:r>
      </m:oMath>
      <w:r w:rsidRPr="00E37BFF">
        <w:rPr>
          <w:rFonts w:ascii="Nunito" w:hAnsi="Nunito"/>
          <w:b/>
          <w:bCs/>
          <w:sz w:val="20"/>
          <w:szCs w:val="20"/>
        </w:rPr>
        <w:t>:</w:t>
      </w:r>
      <w:r w:rsidRPr="00E37BFF">
        <w:rPr>
          <w:rFonts w:ascii="Nunito" w:hAnsi="Nunito"/>
          <w:sz w:val="20"/>
          <w:szCs w:val="20"/>
        </w:rPr>
        <w:t xml:space="preserve"> La población es </w:t>
      </w:r>
      <w:r w:rsidRPr="00E37BFF">
        <w:rPr>
          <w:rFonts w:ascii="Nunito" w:hAnsi="Nunito"/>
          <w:b/>
          <w:bCs/>
          <w:sz w:val="20"/>
          <w:szCs w:val="20"/>
        </w:rPr>
        <w:t>TRES MIL SEISCIENTOS DIEZ</w:t>
      </w:r>
      <w:r w:rsidRPr="00E37BFF">
        <w:rPr>
          <w:rFonts w:ascii="Nunito" w:hAnsi="Nunito"/>
          <w:sz w:val="20"/>
          <w:szCs w:val="20"/>
        </w:rPr>
        <w:t xml:space="preserve"> </w:t>
      </w:r>
      <w:r w:rsidRPr="00E37BFF">
        <w:rPr>
          <w:rFonts w:ascii="Nunito" w:hAnsi="Nunito"/>
          <w:b/>
          <w:bCs/>
          <w:sz w:val="20"/>
          <w:szCs w:val="20"/>
        </w:rPr>
        <w:t>(3.610)</w:t>
      </w:r>
      <w:r w:rsidRPr="00E37BFF">
        <w:rPr>
          <w:rFonts w:ascii="Nunito" w:hAnsi="Nunito"/>
          <w:sz w:val="20"/>
          <w:szCs w:val="20"/>
        </w:rPr>
        <w:t xml:space="preserve"> instalaciones.</w:t>
      </w:r>
    </w:p>
    <w:p w14:paraId="1532B83E" w14:textId="635BA1E6" w:rsidR="00846EFA" w:rsidRPr="00E37BFF" w:rsidRDefault="00C1518D" w:rsidP="00C1518D">
      <w:pPr>
        <w:spacing w:line="240" w:lineRule="auto"/>
        <w:jc w:val="both"/>
        <w:rPr>
          <w:rFonts w:ascii="Nunito" w:hAnsi="Nunito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σ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 w:rsidR="0011216F" w:rsidRPr="00E37BFF">
        <w:rPr>
          <w:rFonts w:ascii="Nunito" w:eastAsiaTheme="minorEastAsia" w:hAnsi="Nunito"/>
          <w:b/>
          <w:bCs/>
          <w:sz w:val="20"/>
          <w:szCs w:val="20"/>
        </w:rPr>
        <w:t>:</w:t>
      </w:r>
      <w:r w:rsidR="0011216F" w:rsidRPr="00E37BFF">
        <w:rPr>
          <w:rFonts w:ascii="Nunito" w:hAnsi="Nunito"/>
          <w:sz w:val="20"/>
          <w:szCs w:val="20"/>
        </w:rPr>
        <w:t xml:space="preserve"> Debido</w:t>
      </w:r>
      <w:r w:rsidR="00846EFA" w:rsidRPr="00E37BFF">
        <w:rPr>
          <w:rFonts w:ascii="Nunito" w:hAnsi="Nunito"/>
          <w:sz w:val="20"/>
          <w:szCs w:val="20"/>
        </w:rPr>
        <w:t xml:space="preserve"> a que se asume normal estándar, esta será de 1</w:t>
      </w:r>
    </w:p>
    <w:p w14:paraId="55D2D5D9" w14:textId="641BC42D" w:rsidR="00846EFA" w:rsidRPr="00E37BFF" w:rsidRDefault="00C1518D" w:rsidP="00C1518D">
      <w:pPr>
        <w:spacing w:line="240" w:lineRule="auto"/>
        <w:jc w:val="both"/>
        <w:rPr>
          <w:rFonts w:ascii="Nunito" w:hAnsi="Nunito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α</m:t>
            </m:r>
          </m:sub>
        </m:sSub>
      </m:oMath>
      <w:r w:rsidR="00846EFA" w:rsidRPr="00E37BFF">
        <w:rPr>
          <w:rFonts w:ascii="Nunito" w:hAnsi="Nunito"/>
          <w:b/>
          <w:bCs/>
          <w:sz w:val="20"/>
          <w:szCs w:val="20"/>
        </w:rPr>
        <w:t>:</w:t>
      </w:r>
      <w:r w:rsidR="00846EFA" w:rsidRPr="00E37BFF">
        <w:rPr>
          <w:rFonts w:ascii="Nunito" w:hAnsi="Nunito"/>
          <w:sz w:val="20"/>
          <w:szCs w:val="20"/>
        </w:rPr>
        <w:t xml:space="preserve"> Este corresponderá a un nivel de confianza de 95% siendo entonces 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Z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α</m:t>
            </m:r>
          </m:sub>
        </m:sSub>
      </m:oMath>
      <w:r w:rsidR="00846EFA" w:rsidRPr="00E37BFF">
        <w:rPr>
          <w:rFonts w:ascii="Nunito" w:eastAsiaTheme="minorEastAsia" w:hAnsi="Nunito"/>
          <w:sz w:val="20"/>
          <w:szCs w:val="20"/>
        </w:rPr>
        <w:t>=1,64</w:t>
      </w:r>
    </w:p>
    <w:p w14:paraId="1462CFEF" w14:textId="4E568E5B" w:rsidR="00846EFA" w:rsidRPr="00E37BFF" w:rsidRDefault="00846EFA" w:rsidP="00C1518D">
      <w:pPr>
        <w:spacing w:line="240" w:lineRule="auto"/>
        <w:jc w:val="both"/>
        <w:rPr>
          <w:rFonts w:ascii="Nunito" w:hAnsi="Nunito"/>
          <w:sz w:val="20"/>
          <w:szCs w:val="20"/>
        </w:rPr>
      </w:pP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e</m:t>
        </m:r>
      </m:oMath>
      <w:r w:rsidRPr="00E37BFF">
        <w:rPr>
          <w:rFonts w:ascii="Nunito" w:hAnsi="Nunito"/>
          <w:b/>
          <w:bCs/>
          <w:sz w:val="20"/>
          <w:szCs w:val="20"/>
        </w:rPr>
        <w:t>:</w:t>
      </w:r>
      <w:r w:rsidRPr="00E37BFF">
        <w:rPr>
          <w:rFonts w:ascii="Nunito" w:hAnsi="Nunito"/>
          <w:sz w:val="20"/>
          <w:szCs w:val="20"/>
        </w:rPr>
        <w:t xml:space="preserve"> Este margen será del 10%.</w:t>
      </w:r>
    </w:p>
    <w:p w14:paraId="19A482EB" w14:textId="07A5507B" w:rsidR="004E669E" w:rsidRPr="00E37BFF" w:rsidRDefault="004E669E" w:rsidP="00C1518D">
      <w:pPr>
        <w:spacing w:line="240" w:lineRule="auto"/>
        <w:jc w:val="both"/>
        <w:rPr>
          <w:rFonts w:ascii="Nunito" w:hAnsi="Nunito"/>
          <w:sz w:val="20"/>
          <w:szCs w:val="20"/>
        </w:rPr>
      </w:pPr>
      <w:r w:rsidRPr="00E37BFF">
        <w:rPr>
          <w:rFonts w:ascii="Nunito" w:hAnsi="Nunito"/>
          <w:sz w:val="20"/>
          <w:szCs w:val="20"/>
        </w:rPr>
        <w:t xml:space="preserve">Para lo cual el valor de la muestra es de </w:t>
      </w:r>
      <w:r w:rsidRPr="00E37BFF">
        <w:rPr>
          <w:rFonts w:ascii="Nunito" w:hAnsi="Nunito"/>
          <w:b/>
          <w:bCs/>
          <w:sz w:val="20"/>
          <w:szCs w:val="20"/>
        </w:rPr>
        <w:t>DOSCIENTOS CINCUENTA Y DOS (252)</w:t>
      </w:r>
      <w:r w:rsidRPr="00E37BFF">
        <w:rPr>
          <w:rFonts w:ascii="Nunito" w:hAnsi="Nunito"/>
          <w:sz w:val="20"/>
          <w:szCs w:val="20"/>
        </w:rPr>
        <w:t xml:space="preserve"> </w:t>
      </w:r>
      <w:r w:rsidR="00AC161A" w:rsidRPr="00E37BFF">
        <w:rPr>
          <w:rFonts w:ascii="Nunito" w:hAnsi="Nunito"/>
          <w:b/>
          <w:bCs/>
          <w:sz w:val="20"/>
          <w:szCs w:val="20"/>
        </w:rPr>
        <w:t>de instalaciones</w:t>
      </w:r>
      <w:r w:rsidRPr="00E37BFF">
        <w:rPr>
          <w:rFonts w:ascii="Nunito" w:hAnsi="Nunito"/>
          <w:sz w:val="20"/>
          <w:szCs w:val="20"/>
        </w:rPr>
        <w:t xml:space="preserve"> a ser visitados</w:t>
      </w:r>
      <w:r w:rsidR="00AC161A" w:rsidRPr="00E37BFF">
        <w:rPr>
          <w:rFonts w:ascii="Nunito" w:hAnsi="Nunito"/>
          <w:sz w:val="20"/>
          <w:szCs w:val="20"/>
        </w:rPr>
        <w:t>, este número considera reemplazo</w:t>
      </w:r>
      <w:r w:rsidRPr="00E37BFF">
        <w:rPr>
          <w:rFonts w:ascii="Nunito" w:hAnsi="Nunito"/>
          <w:sz w:val="20"/>
          <w:szCs w:val="20"/>
        </w:rPr>
        <w:t>.</w:t>
      </w:r>
      <w:r w:rsidR="007826D4" w:rsidRPr="00E37BFF">
        <w:rPr>
          <w:rFonts w:ascii="Nunito" w:hAnsi="Nunito"/>
          <w:sz w:val="20"/>
          <w:szCs w:val="20"/>
        </w:rPr>
        <w:t xml:space="preserve"> Con lo anterior, </w:t>
      </w:r>
      <w:r w:rsidR="00EF1060" w:rsidRPr="00E37BFF">
        <w:rPr>
          <w:rFonts w:ascii="Nunito" w:hAnsi="Nunito"/>
          <w:sz w:val="20"/>
          <w:szCs w:val="20"/>
        </w:rPr>
        <w:t>el muestreo debe ser al menos 252 instalaciones.</w:t>
      </w:r>
    </w:p>
    <w:sdt>
      <w:sdtPr>
        <w:rPr>
          <w:rFonts w:ascii="Nunito" w:eastAsiaTheme="minorHAnsi" w:hAnsi="Nunito" w:cstheme="minorBidi"/>
          <w:color w:val="auto"/>
          <w:sz w:val="20"/>
          <w:szCs w:val="20"/>
          <w:lang w:val="es-MX"/>
        </w:rPr>
        <w:id w:val="829956508"/>
        <w:docPartObj>
          <w:docPartGallery w:val="Bibliographies"/>
          <w:docPartUnique/>
        </w:docPartObj>
      </w:sdtPr>
      <w:sdtEndPr>
        <w:rPr>
          <w:rFonts w:asciiTheme="minorHAnsi" w:eastAsiaTheme="minorEastAsia" w:hAnsiTheme="minorHAnsi"/>
          <w:sz w:val="22"/>
          <w:szCs w:val="22"/>
          <w:lang w:val="es-CO"/>
        </w:rPr>
      </w:sdtEndPr>
      <w:sdtContent>
        <w:p w14:paraId="3A6781D6" w14:textId="18BFFF93" w:rsidR="00623A0C" w:rsidRPr="00E37BFF" w:rsidRDefault="00623A0C" w:rsidP="00C1518D">
          <w:pPr>
            <w:pStyle w:val="Ttulo1"/>
            <w:spacing w:line="240" w:lineRule="auto"/>
            <w:rPr>
              <w:rFonts w:ascii="Nunito" w:hAnsi="Nunito"/>
              <w:color w:val="auto"/>
              <w:sz w:val="20"/>
              <w:szCs w:val="20"/>
            </w:rPr>
          </w:pPr>
          <w:r w:rsidRPr="00E37BFF">
            <w:rPr>
              <w:rFonts w:ascii="Nunito" w:hAnsi="Nunito"/>
              <w:color w:val="auto"/>
              <w:sz w:val="20"/>
              <w:szCs w:val="20"/>
              <w:lang w:val="es-MX"/>
            </w:rPr>
            <w:t>Bibliografía</w:t>
          </w:r>
        </w:p>
        <w:sdt>
          <w:sdtPr>
            <w:rPr>
              <w:rFonts w:ascii="Nunito" w:hAnsi="Nunito"/>
              <w:sz w:val="20"/>
              <w:szCs w:val="20"/>
            </w:rPr>
            <w:id w:val="111145805"/>
            <w:bibliography/>
          </w:sdtPr>
          <w:sdtEndPr>
            <w:rPr>
              <w:rFonts w:asciiTheme="minorHAnsi" w:hAnsiTheme="minorHAnsi"/>
              <w:sz w:val="22"/>
              <w:szCs w:val="22"/>
            </w:rPr>
          </w:sdtEndPr>
          <w:sdtContent>
            <w:p w14:paraId="2FECBEC4" w14:textId="35ABCF25" w:rsidR="00623A0C" w:rsidRDefault="00623A0C" w:rsidP="00C1518D">
              <w:pPr>
                <w:pStyle w:val="Bibliografa"/>
                <w:spacing w:line="240" w:lineRule="auto"/>
                <w:ind w:left="720" w:hanging="720"/>
              </w:pPr>
              <w:r w:rsidRPr="00E37BFF">
                <w:rPr>
                  <w:rFonts w:ascii="Nunito" w:hAnsi="Nunito"/>
                  <w:sz w:val="20"/>
                  <w:szCs w:val="20"/>
                </w:rPr>
                <w:fldChar w:fldCharType="begin"/>
              </w:r>
              <w:r w:rsidRPr="00E37BFF">
                <w:rPr>
                  <w:rFonts w:ascii="Nunito" w:hAnsi="Nunito"/>
                  <w:sz w:val="20"/>
                  <w:szCs w:val="20"/>
                </w:rPr>
                <w:instrText>BIBLIOGRAPHY</w:instrText>
              </w:r>
              <w:r w:rsidRPr="00E37BFF">
                <w:rPr>
                  <w:rFonts w:ascii="Nunito" w:hAnsi="Nunito"/>
                  <w:sz w:val="20"/>
                  <w:szCs w:val="20"/>
                </w:rPr>
                <w:fldChar w:fldCharType="separate"/>
              </w:r>
              <w:r w:rsidRPr="00E37BFF">
                <w:rPr>
                  <w:rFonts w:ascii="Nunito" w:hAnsi="Nunito"/>
                  <w:noProof/>
                  <w:sz w:val="20"/>
                  <w:szCs w:val="20"/>
                  <w:lang w:val="es-MX"/>
                </w:rPr>
                <w:t xml:space="preserve">Triola, M. F. (2009). </w:t>
              </w:r>
              <w:r w:rsidRPr="00E37BFF">
                <w:rPr>
                  <w:rFonts w:ascii="Nunito" w:hAnsi="Nunito"/>
                  <w:i/>
                  <w:iCs/>
                  <w:noProof/>
                  <w:sz w:val="20"/>
                  <w:szCs w:val="20"/>
                  <w:lang w:val="es-MX"/>
                </w:rPr>
                <w:t>Estadistica.</w:t>
              </w:r>
              <w:r w:rsidRPr="00E37BFF">
                <w:rPr>
                  <w:rFonts w:ascii="Nunito" w:hAnsi="Nunito"/>
                  <w:noProof/>
                  <w:sz w:val="20"/>
                  <w:szCs w:val="20"/>
                  <w:lang w:val="es-MX"/>
                </w:rPr>
                <w:t xml:space="preserve"> Mexico: Pearson, Educación.</w:t>
              </w:r>
              <w:r w:rsidRPr="00E37BFF">
                <w:rPr>
                  <w:rFonts w:ascii="Nunito" w:hAnsi="Nunito"/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</w:sdtContent>
    </w:sdt>
    <w:p w14:paraId="00A087C7" w14:textId="77777777" w:rsidR="00A218AE" w:rsidRDefault="00A218AE" w:rsidP="00C1518D">
      <w:pPr>
        <w:spacing w:line="240" w:lineRule="auto"/>
      </w:pPr>
    </w:p>
    <w:sectPr w:rsidR="00A218A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462F4" w14:textId="77777777" w:rsidR="00D638E1" w:rsidRDefault="00D638E1" w:rsidP="00A218AE">
      <w:pPr>
        <w:spacing w:after="0" w:line="240" w:lineRule="auto"/>
      </w:pPr>
      <w:r>
        <w:separator/>
      </w:r>
    </w:p>
  </w:endnote>
  <w:endnote w:type="continuationSeparator" w:id="0">
    <w:p w14:paraId="504C731E" w14:textId="77777777" w:rsidR="00D638E1" w:rsidRDefault="00D638E1" w:rsidP="00A2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9"/>
      <w:gridCol w:w="4401"/>
    </w:tblGrid>
    <w:tr w:rsidR="00DC5CC4" w:rsidRPr="00963B15" w14:paraId="5DDFE0CC" w14:textId="77777777" w:rsidTr="005806DE">
      <w:tc>
        <w:tcPr>
          <w:tcW w:w="4662" w:type="dxa"/>
        </w:tcPr>
        <w:p w14:paraId="3014F232" w14:textId="77777777" w:rsidR="00DC5CC4" w:rsidRPr="00963B15" w:rsidRDefault="00DC5CC4" w:rsidP="00DC5CC4">
          <w:pPr>
            <w:textDirection w:val="btLr"/>
            <w:rPr>
              <w:rFonts w:ascii="Nunito" w:hAnsi="Nunito"/>
              <w:sz w:val="16"/>
              <w:szCs w:val="16"/>
            </w:rPr>
          </w:pPr>
          <w:r w:rsidRPr="00963B15">
            <w:rPr>
              <w:rFonts w:ascii="Nunito" w:eastAsia="Helvetica Neue" w:hAnsi="Nunito" w:cs="Helvetica Neue"/>
              <w:color w:val="000000"/>
              <w:sz w:val="16"/>
              <w:szCs w:val="16"/>
            </w:rPr>
            <w:t xml:space="preserve">Dirección: Carrera 12 No. 84 A - 12, </w:t>
          </w:r>
          <w:proofErr w:type="spellStart"/>
          <w:r w:rsidRPr="00963B15">
            <w:rPr>
              <w:rFonts w:ascii="Nunito" w:eastAsia="Helvetica Neue" w:hAnsi="Nunito" w:cs="Helvetica Neue"/>
              <w:color w:val="000000"/>
              <w:sz w:val="16"/>
              <w:szCs w:val="16"/>
            </w:rPr>
            <w:t>Of</w:t>
          </w:r>
          <w:proofErr w:type="spellEnd"/>
          <w:r w:rsidRPr="00963B15">
            <w:rPr>
              <w:rFonts w:ascii="Nunito" w:eastAsia="Helvetica Neue" w:hAnsi="Nunito" w:cs="Helvetica Neue"/>
              <w:color w:val="000000"/>
              <w:sz w:val="16"/>
              <w:szCs w:val="16"/>
            </w:rPr>
            <w:t>. 601 Bogotá D.C., Colombia</w:t>
          </w:r>
        </w:p>
        <w:p w14:paraId="2E9C33B1" w14:textId="77777777" w:rsidR="00DC5CC4" w:rsidRPr="00963B15" w:rsidRDefault="00DC5CC4" w:rsidP="00DC5CC4">
          <w:pPr>
            <w:textDirection w:val="btLr"/>
            <w:rPr>
              <w:rFonts w:ascii="Nunito" w:hAnsi="Nunito"/>
              <w:sz w:val="16"/>
              <w:szCs w:val="16"/>
            </w:rPr>
          </w:pPr>
          <w:r w:rsidRPr="00963B15">
            <w:rPr>
              <w:rFonts w:ascii="Nunito" w:eastAsia="Helvetica Neue" w:hAnsi="Nunito" w:cs="Helvetica Neue"/>
              <w:color w:val="000000"/>
              <w:sz w:val="16"/>
              <w:szCs w:val="16"/>
            </w:rPr>
            <w:t>Línea Gratuita: (601) 492 72 32</w:t>
          </w:r>
        </w:p>
        <w:p w14:paraId="3977EABD" w14:textId="77777777" w:rsidR="00DC5CC4" w:rsidRPr="00963B15" w:rsidRDefault="00DC5CC4" w:rsidP="00DC5CC4">
          <w:pPr>
            <w:ind w:right="26"/>
            <w:textDirection w:val="btLr"/>
            <w:rPr>
              <w:rFonts w:ascii="Nunito" w:eastAsia="Times New Roman" w:hAnsi="Nunito" w:cs="Times New Roman"/>
              <w:sz w:val="16"/>
              <w:szCs w:val="16"/>
              <w:lang w:val="es-ES" w:eastAsia="es-ES_tradnl"/>
            </w:rPr>
          </w:pPr>
          <w:hyperlink r:id="rId1" w:history="1">
            <w:r w:rsidRPr="00963B15">
              <w:rPr>
                <w:rStyle w:val="Hipervnculo"/>
                <w:rFonts w:ascii="Nunito" w:eastAsia="Helvetica Neue" w:hAnsi="Nunito" w:cs="Helvetica Neue"/>
                <w:sz w:val="16"/>
                <w:szCs w:val="16"/>
              </w:rPr>
              <w:t>www.fenoge.gov.co</w:t>
            </w:r>
          </w:hyperlink>
          <w:r w:rsidRPr="00963B15">
            <w:rPr>
              <w:rStyle w:val="Hipervnculo"/>
              <w:rFonts w:ascii="Nunito" w:eastAsia="Helvetica Neue" w:hAnsi="Nunito" w:cs="Helvetica Neue"/>
              <w:sz w:val="16"/>
              <w:szCs w:val="16"/>
            </w:rPr>
            <w:t xml:space="preserve"> </w:t>
          </w:r>
        </w:p>
      </w:tc>
      <w:tc>
        <w:tcPr>
          <w:tcW w:w="4506" w:type="dxa"/>
        </w:tcPr>
        <w:p w14:paraId="48751B8B" w14:textId="77777777" w:rsidR="00DC5CC4" w:rsidRPr="00152211" w:rsidRDefault="00DC5CC4" w:rsidP="00DC5C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Nunito" w:hAnsi="Nunito"/>
              <w:color w:val="000000"/>
              <w:sz w:val="16"/>
              <w:szCs w:val="16"/>
            </w:rPr>
          </w:pPr>
        </w:p>
        <w:p w14:paraId="4FAE76E4" w14:textId="77777777" w:rsidR="00DC5CC4" w:rsidRPr="00963B15" w:rsidRDefault="00DC5CC4" w:rsidP="00DC5C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rFonts w:ascii="Nunito" w:hAnsi="Nunito"/>
              <w:color w:val="000000"/>
              <w:sz w:val="16"/>
              <w:szCs w:val="16"/>
            </w:rPr>
          </w:pPr>
        </w:p>
        <w:p w14:paraId="7313E909" w14:textId="77777777" w:rsidR="00DC5CC4" w:rsidRPr="00963B15" w:rsidRDefault="00DC5CC4" w:rsidP="00DC5C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rFonts w:ascii="Nunito" w:hAnsi="Nunito"/>
              <w:color w:val="000000"/>
              <w:sz w:val="16"/>
              <w:szCs w:val="16"/>
            </w:rPr>
          </w:pPr>
          <w:r w:rsidRPr="00963B15">
            <w:rPr>
              <w:rFonts w:ascii="Nunito" w:hAnsi="Nunito"/>
              <w:color w:val="000000"/>
              <w:sz w:val="16"/>
              <w:szCs w:val="16"/>
            </w:rPr>
            <w:t xml:space="preserve">Página | </w:t>
          </w:r>
          <w:r w:rsidRPr="00152211">
            <w:rPr>
              <w:rFonts w:ascii="Nunito" w:hAnsi="Nunito"/>
              <w:color w:val="000000"/>
              <w:sz w:val="16"/>
              <w:szCs w:val="16"/>
            </w:rPr>
            <w:fldChar w:fldCharType="begin"/>
          </w:r>
          <w:r w:rsidRPr="00963B15">
            <w:rPr>
              <w:rFonts w:ascii="Nunito" w:hAnsi="Nunito"/>
              <w:color w:val="000000"/>
              <w:sz w:val="16"/>
              <w:szCs w:val="16"/>
            </w:rPr>
            <w:instrText>PAGE</w:instrText>
          </w:r>
          <w:r w:rsidRPr="00152211">
            <w:rPr>
              <w:rFonts w:ascii="Nunito" w:hAnsi="Nunito"/>
              <w:color w:val="000000"/>
              <w:sz w:val="16"/>
              <w:szCs w:val="16"/>
            </w:rPr>
            <w:fldChar w:fldCharType="separate"/>
          </w:r>
          <w:r>
            <w:rPr>
              <w:rFonts w:ascii="Nunito" w:hAnsi="Nunito"/>
              <w:noProof/>
              <w:color w:val="000000"/>
              <w:sz w:val="16"/>
              <w:szCs w:val="16"/>
            </w:rPr>
            <w:t>1</w:t>
          </w:r>
          <w:r w:rsidRPr="00152211">
            <w:rPr>
              <w:rFonts w:ascii="Nunito" w:hAnsi="Nunito"/>
              <w:color w:val="000000"/>
              <w:sz w:val="16"/>
              <w:szCs w:val="16"/>
            </w:rPr>
            <w:fldChar w:fldCharType="end"/>
          </w:r>
          <w:r w:rsidRPr="00963B15">
            <w:rPr>
              <w:rFonts w:ascii="Nunito" w:hAnsi="Nunito"/>
              <w:color w:val="000000"/>
              <w:sz w:val="16"/>
              <w:szCs w:val="16"/>
            </w:rPr>
            <w:t xml:space="preserve"> </w:t>
          </w:r>
        </w:p>
      </w:tc>
    </w:tr>
  </w:tbl>
  <w:p w14:paraId="12EE2BD6" w14:textId="77777777" w:rsidR="00DC5CC4" w:rsidRDefault="00DC5C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F4E88" w14:textId="77777777" w:rsidR="00D638E1" w:rsidRDefault="00D638E1" w:rsidP="00A218AE">
      <w:pPr>
        <w:spacing w:after="0" w:line="240" w:lineRule="auto"/>
      </w:pPr>
      <w:r>
        <w:separator/>
      </w:r>
    </w:p>
  </w:footnote>
  <w:footnote w:type="continuationSeparator" w:id="0">
    <w:p w14:paraId="190649BE" w14:textId="77777777" w:rsidR="00D638E1" w:rsidRDefault="00D638E1" w:rsidP="00A21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A06DD" w14:textId="276BAFE6" w:rsidR="00A218AE" w:rsidRDefault="00A218AE" w:rsidP="00A218AE">
    <w:pPr>
      <w:pStyle w:val="Encabezado"/>
      <w:jc w:val="center"/>
    </w:pPr>
    <w:r>
      <w:rPr>
        <w:noProof/>
      </w:rPr>
      <w:drawing>
        <wp:inline distT="0" distB="0" distL="0" distR="0" wp14:anchorId="6947E0A5" wp14:editId="05820ED5">
          <wp:extent cx="1247179" cy="1080000"/>
          <wp:effectExtent l="0" t="0" r="0" b="0"/>
          <wp:docPr id="13632226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222627" name="Imagen 13632226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79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AE"/>
    <w:rsid w:val="00053259"/>
    <w:rsid w:val="00100FF5"/>
    <w:rsid w:val="0011216F"/>
    <w:rsid w:val="001D47DF"/>
    <w:rsid w:val="002906BA"/>
    <w:rsid w:val="002969C1"/>
    <w:rsid w:val="00300D22"/>
    <w:rsid w:val="004E669E"/>
    <w:rsid w:val="00623A0C"/>
    <w:rsid w:val="007826D4"/>
    <w:rsid w:val="00803E40"/>
    <w:rsid w:val="00846EFA"/>
    <w:rsid w:val="00855414"/>
    <w:rsid w:val="008A2993"/>
    <w:rsid w:val="008A603D"/>
    <w:rsid w:val="009A03BD"/>
    <w:rsid w:val="009A5291"/>
    <w:rsid w:val="009E2501"/>
    <w:rsid w:val="00A218AE"/>
    <w:rsid w:val="00A73DBC"/>
    <w:rsid w:val="00AC161A"/>
    <w:rsid w:val="00B617E7"/>
    <w:rsid w:val="00B70D85"/>
    <w:rsid w:val="00C1518D"/>
    <w:rsid w:val="00CA645F"/>
    <w:rsid w:val="00CA7A08"/>
    <w:rsid w:val="00CB44F0"/>
    <w:rsid w:val="00D638E1"/>
    <w:rsid w:val="00D8009E"/>
    <w:rsid w:val="00DA7AEC"/>
    <w:rsid w:val="00DC5CC4"/>
    <w:rsid w:val="00E37BFF"/>
    <w:rsid w:val="00EF1060"/>
    <w:rsid w:val="00FF6FAD"/>
    <w:rsid w:val="0A5A6439"/>
    <w:rsid w:val="2F241E18"/>
    <w:rsid w:val="588FCB4F"/>
    <w:rsid w:val="62BB3A41"/>
    <w:rsid w:val="6957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D9A5"/>
  <w15:chartTrackingRefBased/>
  <w15:docId w15:val="{3D17DADB-5382-4BE1-B573-C18941B2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1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1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1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1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1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1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1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1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1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1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1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1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18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18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18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18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18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18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1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1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1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1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1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18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18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18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1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18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18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218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AE"/>
  </w:style>
  <w:style w:type="paragraph" w:styleId="Piedepgina">
    <w:name w:val="footer"/>
    <w:basedOn w:val="Normal"/>
    <w:link w:val="PiedepginaCar"/>
    <w:uiPriority w:val="99"/>
    <w:unhideWhenUsed/>
    <w:rsid w:val="00A218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AE"/>
  </w:style>
  <w:style w:type="character" w:styleId="Textodelmarcadordeposicin">
    <w:name w:val="Placeholder Text"/>
    <w:basedOn w:val="Fuentedeprrafopredeter"/>
    <w:uiPriority w:val="99"/>
    <w:semiHidden/>
    <w:rsid w:val="00803E40"/>
    <w:rPr>
      <w:color w:val="666666"/>
    </w:rPr>
  </w:style>
  <w:style w:type="paragraph" w:styleId="Bibliografa">
    <w:name w:val="Bibliography"/>
    <w:basedOn w:val="Normal"/>
    <w:next w:val="Normal"/>
    <w:uiPriority w:val="37"/>
    <w:unhideWhenUsed/>
    <w:rsid w:val="00623A0C"/>
  </w:style>
  <w:style w:type="character" w:styleId="Hipervnculo">
    <w:name w:val="Hyperlink"/>
    <w:uiPriority w:val="99"/>
    <w:rsid w:val="00DC5CC4"/>
    <w:rPr>
      <w:color w:val="000080"/>
      <w:u w:val="single"/>
    </w:rPr>
  </w:style>
  <w:style w:type="table" w:styleId="Tablaconcuadrcula">
    <w:name w:val="Table Grid"/>
    <w:basedOn w:val="Tablanormal"/>
    <w:uiPriority w:val="39"/>
    <w:rsid w:val="00DC5CC4"/>
    <w:pPr>
      <w:spacing w:after="0" w:line="240" w:lineRule="auto"/>
    </w:pPr>
    <w:rPr>
      <w:rFonts w:ascii="Calibri" w:eastAsia="Calibri" w:hAnsi="Calibri" w:cs="Calibri"/>
      <w:kern w:val="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2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nog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Mar09</b:Tag>
    <b:SourceType>Book</b:SourceType>
    <b:Guid>{D491D2F3-A723-4B80-AFDE-3F31C5A07ED5}</b:Guid>
    <b:Author>
      <b:Author>
        <b:NameList>
          <b:Person>
            <b:Last>Triola</b:Last>
            <b:First>Mario</b:First>
            <b:Middle>F</b:Middle>
          </b:Person>
        </b:NameList>
      </b:Author>
    </b:Author>
    <b:Title>Estadistica</b:Title>
    <b:Year>2009</b:Year>
    <b:City>Mexico</b:City>
    <b:Publisher>Pearson, Educación</b:Publisher>
    <b:RefOrder>1</b:RefOrder>
  </b:Source>
</b:Sources>
</file>

<file path=customXml/itemProps1.xml><?xml version="1.0" encoding="utf-8"?>
<ds:datastoreItem xmlns:ds="http://schemas.openxmlformats.org/officeDocument/2006/customXml" ds:itemID="{9A3FF513-57DA-4A38-AE2D-30A9CBC5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Pinzón Jiménez</dc:creator>
  <cp:keywords/>
  <dc:description/>
  <cp:lastModifiedBy>Johana Alexandra Rendón Vargas</cp:lastModifiedBy>
  <cp:revision>21</cp:revision>
  <dcterms:created xsi:type="dcterms:W3CDTF">2024-08-01T09:09:00Z</dcterms:created>
  <dcterms:modified xsi:type="dcterms:W3CDTF">2024-08-02T22:29:00Z</dcterms:modified>
</cp:coreProperties>
</file>