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0F66A0" w14:textId="77777777" w:rsidR="003E03C9" w:rsidRPr="003A5178" w:rsidRDefault="003E03C9" w:rsidP="0061344D">
      <w:pPr>
        <w:rPr>
          <w:rFonts w:asciiTheme="minorHAnsi" w:hAnsiTheme="minorHAnsi" w:cstheme="minorHAnsi"/>
          <w:sz w:val="20"/>
          <w:szCs w:val="20"/>
        </w:rPr>
      </w:pPr>
    </w:p>
    <w:p w14:paraId="07875E37" w14:textId="298ED883" w:rsidR="009A2B46" w:rsidRPr="003A5178" w:rsidRDefault="009A2B46" w:rsidP="00C232EC">
      <w:pPr>
        <w:jc w:val="center"/>
        <w:rPr>
          <w:rFonts w:asciiTheme="minorHAnsi" w:hAnsiTheme="minorHAnsi" w:cstheme="minorHAnsi"/>
          <w:b/>
          <w:bCs/>
          <w:sz w:val="20"/>
          <w:szCs w:val="20"/>
        </w:rPr>
      </w:pPr>
      <w:r>
        <w:rPr>
          <w:rFonts w:asciiTheme="minorHAnsi" w:hAnsiTheme="minorHAnsi" w:cstheme="minorHAnsi"/>
          <w:b/>
          <w:bCs/>
          <w:sz w:val="20"/>
          <w:szCs w:val="20"/>
        </w:rPr>
        <w:t>Fondo de Energías No Convencionales y Gestión Eficiente de la Energía – FENOGE</w:t>
      </w:r>
    </w:p>
    <w:p w14:paraId="06A7F247" w14:textId="77777777" w:rsidR="009A2B46" w:rsidRPr="003A5178" w:rsidRDefault="009A2B46" w:rsidP="00C232EC">
      <w:pPr>
        <w:jc w:val="center"/>
        <w:rPr>
          <w:rFonts w:asciiTheme="minorHAnsi" w:hAnsiTheme="minorHAnsi" w:cstheme="minorHAnsi"/>
          <w:b/>
          <w:bCs/>
          <w:sz w:val="20"/>
          <w:szCs w:val="20"/>
        </w:rPr>
      </w:pPr>
    </w:p>
    <w:p w14:paraId="2FEE7B23" w14:textId="77777777" w:rsidR="009A2B46" w:rsidRPr="003A5178" w:rsidRDefault="009A2B46" w:rsidP="00C232EC">
      <w:pPr>
        <w:jc w:val="center"/>
        <w:rPr>
          <w:rFonts w:asciiTheme="minorHAnsi" w:hAnsiTheme="minorHAnsi" w:cstheme="minorHAnsi"/>
          <w:b/>
          <w:bCs/>
          <w:sz w:val="20"/>
          <w:szCs w:val="20"/>
        </w:rPr>
      </w:pPr>
    </w:p>
    <w:p w14:paraId="673ED5A5" w14:textId="77777777" w:rsidR="009A2B46" w:rsidRPr="003A5178" w:rsidRDefault="009A2B46" w:rsidP="00C232EC">
      <w:pPr>
        <w:jc w:val="center"/>
        <w:rPr>
          <w:rFonts w:asciiTheme="minorHAnsi" w:hAnsiTheme="minorHAnsi" w:cstheme="minorHAnsi"/>
          <w:b/>
          <w:bCs/>
          <w:sz w:val="20"/>
          <w:szCs w:val="20"/>
        </w:rPr>
      </w:pPr>
    </w:p>
    <w:p w14:paraId="6FE7ECE3" w14:textId="77777777" w:rsidR="009A2B46" w:rsidRPr="003A5178" w:rsidRDefault="009A2B46" w:rsidP="00C232EC">
      <w:pPr>
        <w:jc w:val="center"/>
        <w:rPr>
          <w:rFonts w:asciiTheme="minorHAnsi" w:hAnsiTheme="minorHAnsi" w:cstheme="minorHAnsi"/>
          <w:b/>
          <w:bCs/>
          <w:sz w:val="20"/>
          <w:szCs w:val="20"/>
        </w:rPr>
      </w:pPr>
    </w:p>
    <w:p w14:paraId="2D98A14A" w14:textId="77777777" w:rsidR="000A5A15" w:rsidRPr="003A5178" w:rsidRDefault="000A5A15" w:rsidP="00C232EC">
      <w:pPr>
        <w:jc w:val="center"/>
        <w:rPr>
          <w:rFonts w:asciiTheme="minorHAnsi" w:hAnsiTheme="minorHAnsi" w:cstheme="minorHAnsi"/>
          <w:b/>
          <w:sz w:val="20"/>
          <w:szCs w:val="20"/>
        </w:rPr>
      </w:pPr>
    </w:p>
    <w:p w14:paraId="139B1A94" w14:textId="77777777" w:rsidR="009A2B46" w:rsidRPr="003A5178" w:rsidRDefault="009A2B46" w:rsidP="00C232EC">
      <w:pPr>
        <w:jc w:val="center"/>
        <w:rPr>
          <w:rFonts w:asciiTheme="minorHAnsi" w:hAnsiTheme="minorHAnsi" w:cstheme="minorHAnsi"/>
          <w:b/>
          <w:bCs/>
          <w:sz w:val="20"/>
          <w:szCs w:val="20"/>
        </w:rPr>
      </w:pPr>
    </w:p>
    <w:p w14:paraId="71BC7C35" w14:textId="77777777" w:rsidR="009A2B46" w:rsidRPr="003A5178" w:rsidRDefault="009A2B46" w:rsidP="00C232EC">
      <w:pPr>
        <w:jc w:val="center"/>
        <w:rPr>
          <w:rFonts w:asciiTheme="minorHAnsi" w:hAnsiTheme="minorHAnsi" w:cstheme="minorHAnsi"/>
          <w:b/>
          <w:bCs/>
          <w:sz w:val="20"/>
          <w:szCs w:val="20"/>
        </w:rPr>
      </w:pPr>
    </w:p>
    <w:p w14:paraId="7D127253" w14:textId="483B7E3D" w:rsidR="003E03C9" w:rsidRPr="003A5178" w:rsidRDefault="00BE4932" w:rsidP="4FD9DD9D">
      <w:pPr>
        <w:jc w:val="center"/>
        <w:rPr>
          <w:rFonts w:asciiTheme="minorHAnsi" w:hAnsiTheme="minorHAnsi" w:cstheme="minorBidi"/>
          <w:b/>
          <w:bCs/>
          <w:sz w:val="20"/>
          <w:szCs w:val="20"/>
        </w:rPr>
      </w:pPr>
      <w:r w:rsidRPr="64E24F1B">
        <w:rPr>
          <w:rFonts w:asciiTheme="minorHAnsi" w:hAnsiTheme="minorHAnsi" w:cstheme="minorBidi"/>
          <w:b/>
          <w:bCs/>
          <w:sz w:val="20"/>
          <w:szCs w:val="20"/>
        </w:rPr>
        <w:t>Anexo 0</w:t>
      </w:r>
      <w:r w:rsidR="225704C1" w:rsidRPr="64E24F1B">
        <w:rPr>
          <w:rFonts w:asciiTheme="minorHAnsi" w:hAnsiTheme="minorHAnsi" w:cstheme="minorBidi"/>
          <w:b/>
          <w:bCs/>
          <w:sz w:val="20"/>
          <w:szCs w:val="20"/>
        </w:rPr>
        <w:t>1</w:t>
      </w:r>
      <w:r w:rsidRPr="64E24F1B">
        <w:rPr>
          <w:rFonts w:asciiTheme="minorHAnsi" w:hAnsiTheme="minorHAnsi" w:cstheme="minorBidi"/>
          <w:b/>
          <w:bCs/>
          <w:sz w:val="20"/>
          <w:szCs w:val="20"/>
        </w:rPr>
        <w:t xml:space="preserve"> – Especificaciones técnicas mínimas</w:t>
      </w:r>
    </w:p>
    <w:p w14:paraId="36C1912C" w14:textId="77777777" w:rsidR="00275FC1" w:rsidRPr="003A5178" w:rsidRDefault="00275FC1" w:rsidP="0061344D">
      <w:pPr>
        <w:jc w:val="center"/>
        <w:rPr>
          <w:rFonts w:asciiTheme="minorHAnsi" w:hAnsiTheme="minorHAnsi" w:cstheme="minorHAnsi"/>
          <w:b/>
          <w:sz w:val="20"/>
          <w:szCs w:val="20"/>
        </w:rPr>
      </w:pPr>
    </w:p>
    <w:p w14:paraId="0A97B8DD" w14:textId="77777777" w:rsidR="00C232EC" w:rsidRPr="003A5178" w:rsidRDefault="00C232EC" w:rsidP="0061344D">
      <w:pPr>
        <w:jc w:val="center"/>
        <w:rPr>
          <w:rFonts w:asciiTheme="minorHAnsi" w:hAnsiTheme="minorHAnsi" w:cstheme="minorHAnsi"/>
          <w:b/>
          <w:sz w:val="20"/>
          <w:szCs w:val="20"/>
        </w:rPr>
      </w:pPr>
    </w:p>
    <w:p w14:paraId="65C378E1" w14:textId="77777777" w:rsidR="00C232EC" w:rsidRPr="003A5178" w:rsidRDefault="00C232EC" w:rsidP="0061344D">
      <w:pPr>
        <w:jc w:val="center"/>
        <w:rPr>
          <w:rFonts w:asciiTheme="minorHAnsi" w:hAnsiTheme="minorHAnsi" w:cstheme="minorHAnsi"/>
          <w:b/>
          <w:sz w:val="20"/>
          <w:szCs w:val="20"/>
        </w:rPr>
      </w:pPr>
    </w:p>
    <w:p w14:paraId="1E0ACA2F" w14:textId="77777777" w:rsidR="009A2B46" w:rsidRPr="003A5178" w:rsidRDefault="009A2B46" w:rsidP="0061344D">
      <w:pPr>
        <w:jc w:val="center"/>
        <w:rPr>
          <w:rFonts w:asciiTheme="minorHAnsi" w:hAnsiTheme="minorHAnsi" w:cstheme="minorHAnsi"/>
          <w:b/>
          <w:bCs/>
          <w:sz w:val="20"/>
          <w:szCs w:val="20"/>
        </w:rPr>
      </w:pPr>
    </w:p>
    <w:p w14:paraId="19EF123D" w14:textId="77777777" w:rsidR="000A5A15" w:rsidRPr="003A5178" w:rsidRDefault="000A5A15" w:rsidP="0061344D">
      <w:pPr>
        <w:jc w:val="center"/>
        <w:rPr>
          <w:rFonts w:asciiTheme="minorHAnsi" w:hAnsiTheme="minorHAnsi" w:cstheme="minorHAnsi"/>
          <w:b/>
          <w:sz w:val="20"/>
          <w:szCs w:val="20"/>
        </w:rPr>
      </w:pPr>
    </w:p>
    <w:p w14:paraId="25361AB6" w14:textId="77777777" w:rsidR="009A2B46" w:rsidRPr="003A5178" w:rsidRDefault="009A2B46" w:rsidP="0061344D">
      <w:pPr>
        <w:jc w:val="center"/>
        <w:rPr>
          <w:rFonts w:asciiTheme="minorHAnsi" w:hAnsiTheme="minorHAnsi" w:cstheme="minorHAnsi"/>
          <w:b/>
          <w:bCs/>
          <w:sz w:val="20"/>
          <w:szCs w:val="20"/>
        </w:rPr>
      </w:pPr>
    </w:p>
    <w:p w14:paraId="23BE97C4" w14:textId="77777777" w:rsidR="00C232EC" w:rsidRPr="003A5178" w:rsidRDefault="00C232EC" w:rsidP="0061344D">
      <w:pPr>
        <w:jc w:val="center"/>
        <w:rPr>
          <w:rFonts w:asciiTheme="minorHAnsi" w:hAnsiTheme="minorHAnsi" w:cstheme="minorHAnsi"/>
          <w:b/>
          <w:sz w:val="20"/>
          <w:szCs w:val="20"/>
        </w:rPr>
      </w:pPr>
    </w:p>
    <w:p w14:paraId="29E15F5D" w14:textId="77777777" w:rsidR="00C232EC" w:rsidRPr="003A5178" w:rsidRDefault="00C232EC" w:rsidP="0061344D">
      <w:pPr>
        <w:jc w:val="center"/>
        <w:rPr>
          <w:rFonts w:asciiTheme="minorHAnsi" w:hAnsiTheme="minorHAnsi" w:cstheme="minorHAnsi"/>
          <w:b/>
          <w:sz w:val="20"/>
          <w:szCs w:val="20"/>
        </w:rPr>
      </w:pPr>
    </w:p>
    <w:p w14:paraId="4B3ABB5F" w14:textId="2B422659" w:rsidR="003E20A3" w:rsidRPr="003A5178" w:rsidRDefault="003E20A3" w:rsidP="4FD9DD9D">
      <w:pPr>
        <w:jc w:val="center"/>
        <w:rPr>
          <w:rFonts w:asciiTheme="minorHAnsi" w:hAnsiTheme="minorHAnsi" w:cstheme="minorBidi"/>
          <w:b/>
          <w:bCs/>
          <w:sz w:val="20"/>
          <w:szCs w:val="20"/>
        </w:rPr>
      </w:pPr>
      <w:r>
        <w:rPr>
          <w:rFonts w:asciiTheme="minorHAnsi" w:hAnsiTheme="minorHAnsi" w:cstheme="minorBidi"/>
          <w:b/>
          <w:bCs/>
          <w:sz w:val="20"/>
          <w:szCs w:val="20"/>
        </w:rPr>
        <w:t>AFPEI Laboratorios: Instituciones de Educación Superior de carácter estatal a nivel nacional.</w:t>
      </w:r>
    </w:p>
    <w:p w14:paraId="17BDEDC3" w14:textId="77777777" w:rsidR="00C232EC" w:rsidRPr="003A5178" w:rsidRDefault="00C232EC" w:rsidP="68D41FDE">
      <w:pPr>
        <w:jc w:val="center"/>
        <w:rPr>
          <w:rFonts w:asciiTheme="minorHAnsi" w:hAnsiTheme="minorHAnsi" w:cstheme="minorBidi"/>
          <w:b/>
          <w:bCs/>
          <w:sz w:val="20"/>
          <w:szCs w:val="20"/>
        </w:rPr>
      </w:pPr>
    </w:p>
    <w:p w14:paraId="5D5F3EE0" w14:textId="7369FB13" w:rsidR="68D41FDE" w:rsidRDefault="68D41FDE" w:rsidP="68D41FDE">
      <w:pPr>
        <w:jc w:val="center"/>
        <w:rPr>
          <w:rFonts w:asciiTheme="minorHAnsi" w:hAnsiTheme="minorHAnsi" w:cstheme="minorBidi"/>
          <w:b/>
          <w:bCs/>
          <w:sz w:val="20"/>
          <w:szCs w:val="20"/>
        </w:rPr>
      </w:pPr>
    </w:p>
    <w:p w14:paraId="0307DCBE" w14:textId="264D8272" w:rsidR="68D41FDE" w:rsidRDefault="68D41FDE" w:rsidP="68D41FDE">
      <w:pPr>
        <w:jc w:val="center"/>
        <w:rPr>
          <w:rFonts w:asciiTheme="minorHAnsi" w:hAnsiTheme="minorHAnsi" w:cstheme="minorBidi"/>
          <w:b/>
          <w:bCs/>
          <w:sz w:val="20"/>
          <w:szCs w:val="20"/>
        </w:rPr>
      </w:pPr>
    </w:p>
    <w:p w14:paraId="64D21F4C" w14:textId="77777777" w:rsidR="00C232EC" w:rsidRPr="003A5178" w:rsidRDefault="00C232EC" w:rsidP="0061344D">
      <w:pPr>
        <w:jc w:val="center"/>
        <w:rPr>
          <w:rFonts w:asciiTheme="minorHAnsi" w:hAnsiTheme="minorHAnsi" w:cstheme="minorHAnsi"/>
          <w:b/>
          <w:sz w:val="20"/>
          <w:szCs w:val="20"/>
        </w:rPr>
      </w:pPr>
    </w:p>
    <w:p w14:paraId="11B5BFDB" w14:textId="77777777" w:rsidR="00C232EC" w:rsidRPr="003A5178" w:rsidRDefault="00C232EC" w:rsidP="0061344D">
      <w:pPr>
        <w:jc w:val="center"/>
        <w:rPr>
          <w:rFonts w:asciiTheme="minorHAnsi" w:hAnsiTheme="minorHAnsi" w:cstheme="minorHAnsi"/>
          <w:b/>
          <w:sz w:val="20"/>
          <w:szCs w:val="20"/>
        </w:rPr>
      </w:pPr>
    </w:p>
    <w:p w14:paraId="7B789C45" w14:textId="77777777" w:rsidR="009A2B46" w:rsidRPr="003A5178" w:rsidRDefault="009A2B46" w:rsidP="0061344D">
      <w:pPr>
        <w:jc w:val="center"/>
        <w:rPr>
          <w:rFonts w:asciiTheme="minorHAnsi" w:hAnsiTheme="minorHAnsi" w:cstheme="minorHAnsi"/>
          <w:b/>
          <w:bCs/>
          <w:sz w:val="20"/>
          <w:szCs w:val="20"/>
        </w:rPr>
      </w:pPr>
    </w:p>
    <w:p w14:paraId="7A7C21B4" w14:textId="23B5C182" w:rsidR="000A5A15" w:rsidRPr="003A5178" w:rsidRDefault="000A5A15" w:rsidP="4FD9DD9D">
      <w:pPr>
        <w:jc w:val="center"/>
        <w:rPr>
          <w:rFonts w:asciiTheme="minorHAnsi" w:hAnsiTheme="minorHAnsi" w:cstheme="minorBidi"/>
          <w:b/>
          <w:bCs/>
          <w:sz w:val="20"/>
          <w:szCs w:val="20"/>
        </w:rPr>
      </w:pPr>
    </w:p>
    <w:p w14:paraId="52DD7502" w14:textId="77777777" w:rsidR="00C232EC" w:rsidRPr="003A5178" w:rsidRDefault="00C232EC" w:rsidP="0061344D">
      <w:pPr>
        <w:jc w:val="center"/>
        <w:rPr>
          <w:rFonts w:asciiTheme="minorHAnsi" w:hAnsiTheme="minorHAnsi" w:cstheme="minorHAnsi"/>
          <w:b/>
          <w:sz w:val="20"/>
          <w:szCs w:val="20"/>
        </w:rPr>
      </w:pPr>
    </w:p>
    <w:p w14:paraId="40DFC888" w14:textId="77777777" w:rsidR="00C232EC" w:rsidRPr="003A5178" w:rsidRDefault="00C232EC" w:rsidP="0061344D">
      <w:pPr>
        <w:jc w:val="center"/>
        <w:rPr>
          <w:rFonts w:asciiTheme="minorHAnsi" w:hAnsiTheme="minorHAnsi" w:cstheme="minorHAnsi"/>
          <w:b/>
          <w:sz w:val="20"/>
          <w:szCs w:val="20"/>
        </w:rPr>
      </w:pPr>
    </w:p>
    <w:p w14:paraId="7B389B02" w14:textId="1F766D3B" w:rsidR="00C232EC" w:rsidRPr="003A5178" w:rsidRDefault="00C232EC" w:rsidP="0061344D">
      <w:pPr>
        <w:jc w:val="center"/>
        <w:rPr>
          <w:rFonts w:asciiTheme="minorHAnsi" w:hAnsiTheme="minorHAnsi" w:cstheme="minorHAnsi"/>
          <w:b/>
          <w:sz w:val="20"/>
          <w:szCs w:val="20"/>
        </w:rPr>
      </w:pPr>
      <w:r>
        <w:rPr>
          <w:rFonts w:asciiTheme="minorHAnsi" w:hAnsiTheme="minorHAnsi" w:cstheme="minorHAnsi"/>
          <w:b/>
          <w:sz w:val="20"/>
          <w:szCs w:val="20"/>
        </w:rPr>
        <w:t>Objeto:</w:t>
      </w:r>
    </w:p>
    <w:p w14:paraId="199D3733" w14:textId="577873E9" w:rsidR="00C232EC" w:rsidRPr="003A5178" w:rsidRDefault="19D17B0E" w:rsidP="3255A9B4">
      <w:pPr>
        <w:jc w:val="center"/>
        <w:rPr>
          <w:rFonts w:asciiTheme="minorHAnsi" w:hAnsiTheme="minorHAnsi" w:cstheme="minorBidi"/>
          <w:b/>
          <w:bCs/>
          <w:i/>
          <w:iCs/>
          <w:sz w:val="20"/>
          <w:szCs w:val="20"/>
        </w:rPr>
      </w:pPr>
      <w:r w:rsidRPr="3255A9B4">
        <w:rPr>
          <w:rStyle w:val="eop"/>
          <w:rFonts w:ascii="Calibri" w:hAnsi="Calibri" w:cs="Calibri"/>
          <w:b/>
          <w:bCs/>
          <w:i/>
          <w:iCs/>
          <w:sz w:val="20"/>
          <w:szCs w:val="20"/>
        </w:rPr>
        <w:t>Contratar la implementación de laboratorios tecnológicos de fuentes no convencionales de energías renovables – FNCER y movilidad eléctrica en Instituciones de Educación Superior - IES de carácter estatal u oficial, a nivel nacional.</w:t>
      </w:r>
      <w:r w:rsidR="00C232EC" w:rsidRPr="3255A9B4">
        <w:rPr>
          <w:rStyle w:val="eop"/>
          <w:rFonts w:ascii="Calibri" w:hAnsi="Calibri" w:cs="Calibri"/>
          <w:b/>
          <w:bCs/>
          <w:i/>
          <w:iCs/>
          <w:sz w:val="20"/>
          <w:szCs w:val="20"/>
        </w:rPr>
        <w:t> </w:t>
      </w:r>
    </w:p>
    <w:p w14:paraId="787E3C8A" w14:textId="77777777" w:rsidR="007364F8" w:rsidRPr="003A5178" w:rsidRDefault="007364F8" w:rsidP="0061344D">
      <w:pPr>
        <w:jc w:val="center"/>
        <w:rPr>
          <w:rFonts w:asciiTheme="minorHAnsi" w:hAnsiTheme="minorHAnsi" w:cstheme="minorHAnsi"/>
          <w:b/>
          <w:sz w:val="20"/>
          <w:szCs w:val="20"/>
        </w:rPr>
      </w:pPr>
    </w:p>
    <w:p w14:paraId="075F4952" w14:textId="77777777" w:rsidR="003C40B1" w:rsidRPr="003A5178" w:rsidRDefault="003C40B1" w:rsidP="0061344D">
      <w:pPr>
        <w:jc w:val="center"/>
        <w:rPr>
          <w:rFonts w:asciiTheme="minorHAnsi" w:hAnsiTheme="minorHAnsi" w:cstheme="minorHAnsi"/>
          <w:b/>
          <w:sz w:val="20"/>
          <w:szCs w:val="20"/>
        </w:rPr>
      </w:pPr>
    </w:p>
    <w:p w14:paraId="7C8C618B" w14:textId="79D493B8" w:rsidR="003C40B1" w:rsidRPr="003A5178" w:rsidRDefault="003C40B1" w:rsidP="4FD9DD9D">
      <w:pPr>
        <w:jc w:val="center"/>
        <w:rPr>
          <w:rFonts w:asciiTheme="minorHAnsi" w:hAnsiTheme="minorHAnsi" w:cstheme="minorBidi"/>
          <w:b/>
          <w:bCs/>
          <w:sz w:val="20"/>
          <w:szCs w:val="20"/>
        </w:rPr>
      </w:pPr>
    </w:p>
    <w:p w14:paraId="46CAA847" w14:textId="77777777" w:rsidR="003C40B1" w:rsidRPr="003A5178" w:rsidRDefault="003C40B1" w:rsidP="4FD9DD9D">
      <w:pPr>
        <w:jc w:val="center"/>
        <w:rPr>
          <w:rFonts w:asciiTheme="minorHAnsi" w:hAnsiTheme="minorHAnsi" w:cstheme="minorBidi"/>
          <w:b/>
          <w:bCs/>
          <w:sz w:val="20"/>
          <w:szCs w:val="20"/>
        </w:rPr>
      </w:pPr>
    </w:p>
    <w:p w14:paraId="4E148ADE" w14:textId="4266BAA1" w:rsidR="4FD9DD9D" w:rsidRDefault="4FD9DD9D" w:rsidP="4FD9DD9D">
      <w:pPr>
        <w:jc w:val="center"/>
        <w:rPr>
          <w:rFonts w:asciiTheme="minorHAnsi" w:hAnsiTheme="minorHAnsi" w:cstheme="minorBidi"/>
          <w:b/>
          <w:bCs/>
          <w:sz w:val="20"/>
          <w:szCs w:val="20"/>
        </w:rPr>
      </w:pPr>
    </w:p>
    <w:p w14:paraId="785B66D9" w14:textId="70911CDF" w:rsidR="4FD9DD9D" w:rsidRDefault="4FD9DD9D" w:rsidP="4FD9DD9D">
      <w:pPr>
        <w:jc w:val="center"/>
        <w:rPr>
          <w:rFonts w:asciiTheme="minorHAnsi" w:hAnsiTheme="minorHAnsi" w:cstheme="minorBidi"/>
          <w:b/>
          <w:bCs/>
          <w:sz w:val="20"/>
          <w:szCs w:val="20"/>
        </w:rPr>
      </w:pPr>
    </w:p>
    <w:p w14:paraId="4CEEF0DD" w14:textId="380C7D94" w:rsidR="4FD9DD9D" w:rsidRDefault="4FD9DD9D" w:rsidP="4FD9DD9D">
      <w:pPr>
        <w:jc w:val="center"/>
        <w:rPr>
          <w:rFonts w:asciiTheme="minorHAnsi" w:hAnsiTheme="minorHAnsi" w:cstheme="minorBidi"/>
          <w:b/>
          <w:bCs/>
          <w:sz w:val="20"/>
          <w:szCs w:val="20"/>
        </w:rPr>
      </w:pPr>
    </w:p>
    <w:p w14:paraId="0499B515" w14:textId="78AF3550" w:rsidR="4FD9DD9D" w:rsidRDefault="4FD9DD9D" w:rsidP="4FD9DD9D">
      <w:pPr>
        <w:jc w:val="center"/>
        <w:rPr>
          <w:rFonts w:asciiTheme="minorHAnsi" w:hAnsiTheme="minorHAnsi" w:cstheme="minorBidi"/>
          <w:b/>
          <w:bCs/>
          <w:sz w:val="20"/>
          <w:szCs w:val="20"/>
        </w:rPr>
      </w:pPr>
    </w:p>
    <w:p w14:paraId="32C97C6F" w14:textId="429D0696" w:rsidR="009A2B46" w:rsidRPr="003A5178" w:rsidRDefault="25C5828C" w:rsidP="3C234025">
      <w:pPr>
        <w:jc w:val="center"/>
        <w:rPr>
          <w:rFonts w:asciiTheme="minorHAnsi" w:hAnsiTheme="minorHAnsi" w:cstheme="minorBidi"/>
          <w:b/>
          <w:bCs/>
          <w:sz w:val="20"/>
          <w:szCs w:val="20"/>
        </w:rPr>
      </w:pPr>
      <w:r w:rsidRPr="3C234025">
        <w:rPr>
          <w:rFonts w:asciiTheme="minorHAnsi" w:hAnsiTheme="minorHAnsi" w:cstheme="minorBidi"/>
          <w:b/>
          <w:bCs/>
          <w:sz w:val="20"/>
          <w:szCs w:val="20"/>
        </w:rPr>
        <w:t>Mayo</w:t>
      </w:r>
      <w:r w:rsidR="009A2B46" w:rsidRPr="3C234025">
        <w:rPr>
          <w:rFonts w:asciiTheme="minorHAnsi" w:hAnsiTheme="minorHAnsi" w:cstheme="minorBidi"/>
          <w:b/>
          <w:bCs/>
          <w:sz w:val="20"/>
          <w:szCs w:val="20"/>
        </w:rPr>
        <w:t xml:space="preserve"> de 2026</w:t>
      </w:r>
    </w:p>
    <w:p w14:paraId="77F2BBD1" w14:textId="36604367" w:rsidR="009A2B46" w:rsidRPr="003A5178" w:rsidRDefault="009A2B46" w:rsidP="0061344D">
      <w:pPr>
        <w:jc w:val="center"/>
        <w:rPr>
          <w:rFonts w:asciiTheme="minorHAnsi" w:hAnsiTheme="minorHAnsi" w:cstheme="minorHAnsi"/>
          <w:b/>
          <w:bCs/>
          <w:sz w:val="20"/>
          <w:szCs w:val="20"/>
        </w:rPr>
      </w:pPr>
      <w:r>
        <w:rPr>
          <w:rFonts w:asciiTheme="minorHAnsi" w:hAnsiTheme="minorHAnsi" w:cstheme="minorHAnsi"/>
          <w:b/>
          <w:bCs/>
          <w:sz w:val="20"/>
          <w:szCs w:val="20"/>
        </w:rPr>
        <w:t>Bogotá D.C.</w:t>
      </w:r>
    </w:p>
    <w:p w14:paraId="1A3B9333" w14:textId="77777777" w:rsidR="009A2B46" w:rsidRDefault="009A2B46" w:rsidP="0061344D">
      <w:pPr>
        <w:jc w:val="center"/>
        <w:rPr>
          <w:rFonts w:asciiTheme="minorHAnsi" w:hAnsiTheme="minorHAnsi" w:cstheme="minorHAnsi"/>
          <w:b/>
          <w:bCs/>
          <w:sz w:val="20"/>
          <w:szCs w:val="20"/>
        </w:rPr>
      </w:pPr>
    </w:p>
    <w:p w14:paraId="39E2231C" w14:textId="77777777" w:rsidR="009A2B46" w:rsidRDefault="009A2B46" w:rsidP="0061344D">
      <w:pPr>
        <w:jc w:val="center"/>
        <w:rPr>
          <w:rFonts w:asciiTheme="minorHAnsi" w:hAnsiTheme="minorHAnsi" w:cstheme="minorHAnsi"/>
          <w:b/>
          <w:bCs/>
          <w:sz w:val="20"/>
          <w:szCs w:val="20"/>
        </w:rPr>
      </w:pPr>
    </w:p>
    <w:p w14:paraId="07E9E53C" w14:textId="3EA48830" w:rsidR="003E03C9" w:rsidRPr="00101989" w:rsidRDefault="003E03C9" w:rsidP="0061344D">
      <w:pPr>
        <w:jc w:val="center"/>
        <w:rPr>
          <w:rFonts w:asciiTheme="minorHAnsi" w:hAnsiTheme="minorHAnsi" w:cstheme="minorHAnsi"/>
          <w:b/>
          <w:sz w:val="20"/>
          <w:szCs w:val="20"/>
        </w:rPr>
        <w:sectPr w:rsidR="003E03C9" w:rsidRPr="00101989">
          <w:headerReference w:type="default" r:id="rId11"/>
          <w:footerReference w:type="default" r:id="rId12"/>
          <w:pgSz w:w="12250" w:h="15850"/>
          <w:pgMar w:top="1820" w:right="780" w:bottom="280" w:left="1300" w:header="720" w:footer="720" w:gutter="0"/>
          <w:cols w:space="720"/>
        </w:sectPr>
      </w:pPr>
    </w:p>
    <w:p w14:paraId="58962BA3" w14:textId="4D2A2F95" w:rsidR="003A5178" w:rsidRPr="00FB4797" w:rsidRDefault="62C29527" w:rsidP="6F1EDA97">
      <w:pPr>
        <w:pStyle w:val="TDC1"/>
        <w:tabs>
          <w:tab w:val="left" w:pos="435"/>
          <w:tab w:val="right" w:leader="dot" w:pos="9735"/>
        </w:tabs>
        <w:rPr>
          <w:rFonts w:ascii="Calibri" w:eastAsiaTheme="minorEastAsia" w:hAnsi="Calibri" w:cs="Calibri"/>
          <w:noProof/>
          <w:sz w:val="20"/>
          <w:szCs w:val="20"/>
          <w:lang w:val="es-MX" w:eastAsia="es-MX"/>
        </w:rPr>
      </w:pPr>
      <w:r>
        <w:lastRenderedPageBreak/>
        <w:fldChar w:fldCharType="begin"/>
      </w:r>
      <w:r w:rsidR="003A5178">
        <w:instrText>TOC \o "1-2" \z \u \h</w:instrText>
      </w:r>
      <w:r>
        <w:fldChar w:fldCharType="separate"/>
      </w:r>
      <w:hyperlink w:anchor="_Toc4720309">
        <w:r w:rsidR="6F1EDA97" w:rsidRPr="6F1EDA97">
          <w:rPr>
            <w:rStyle w:val="Hipervnculo"/>
          </w:rPr>
          <w:t>1.</w:t>
        </w:r>
        <w:r w:rsidR="003A5178">
          <w:tab/>
        </w:r>
        <w:r w:rsidR="6F1EDA97" w:rsidRPr="6F1EDA97">
          <w:rPr>
            <w:rStyle w:val="Hipervnculo"/>
          </w:rPr>
          <w:t>DISEÑO DE LABORATORIOS</w:t>
        </w:r>
        <w:r w:rsidR="003A5178">
          <w:tab/>
        </w:r>
        <w:r w:rsidR="003A5178">
          <w:fldChar w:fldCharType="begin"/>
        </w:r>
        <w:r w:rsidR="003A5178">
          <w:instrText>PAGEREF _Toc4720309 \h</w:instrText>
        </w:r>
        <w:r w:rsidR="003A5178">
          <w:fldChar w:fldCharType="separate"/>
        </w:r>
        <w:r w:rsidR="6F1EDA97" w:rsidRPr="6F1EDA97">
          <w:rPr>
            <w:rStyle w:val="Hipervnculo"/>
          </w:rPr>
          <w:t>2</w:t>
        </w:r>
        <w:r w:rsidR="003A5178">
          <w:fldChar w:fldCharType="end"/>
        </w:r>
      </w:hyperlink>
    </w:p>
    <w:p w14:paraId="14150321" w14:textId="73044DD2" w:rsidR="003A5178" w:rsidRPr="00FB4797" w:rsidRDefault="00E66AB0" w:rsidP="6F1EDA97">
      <w:pPr>
        <w:pStyle w:val="TDC1"/>
        <w:tabs>
          <w:tab w:val="left" w:pos="435"/>
          <w:tab w:val="right" w:leader="dot" w:pos="9735"/>
        </w:tabs>
        <w:rPr>
          <w:rFonts w:ascii="Calibri" w:eastAsiaTheme="minorEastAsia" w:hAnsi="Calibri" w:cs="Calibri"/>
          <w:noProof/>
          <w:sz w:val="20"/>
          <w:szCs w:val="20"/>
          <w:lang w:val="es-MX" w:eastAsia="es-MX"/>
        </w:rPr>
      </w:pPr>
      <w:hyperlink w:anchor="_Toc5151476">
        <w:r w:rsidR="6F1EDA97" w:rsidRPr="6F1EDA97">
          <w:rPr>
            <w:rStyle w:val="Hipervnculo"/>
          </w:rPr>
          <w:t>2.</w:t>
        </w:r>
        <w:r w:rsidR="62C29527">
          <w:tab/>
        </w:r>
        <w:r w:rsidR="6F1EDA97" w:rsidRPr="6F1EDA97">
          <w:rPr>
            <w:rStyle w:val="Hipervnculo"/>
          </w:rPr>
          <w:t>NORMAS Y CÓDIGOS APLICABLES</w:t>
        </w:r>
        <w:r w:rsidR="62C29527">
          <w:tab/>
        </w:r>
        <w:r w:rsidR="62C29527">
          <w:fldChar w:fldCharType="begin"/>
        </w:r>
        <w:r w:rsidR="62C29527">
          <w:instrText>PAGEREF _Toc5151476 \h</w:instrText>
        </w:r>
        <w:r w:rsidR="62C29527">
          <w:fldChar w:fldCharType="separate"/>
        </w:r>
        <w:r w:rsidR="6F1EDA97" w:rsidRPr="6F1EDA97">
          <w:rPr>
            <w:rStyle w:val="Hipervnculo"/>
          </w:rPr>
          <w:t>59</w:t>
        </w:r>
        <w:r w:rsidR="62C29527">
          <w:fldChar w:fldCharType="end"/>
        </w:r>
      </w:hyperlink>
    </w:p>
    <w:p w14:paraId="0525C695" w14:textId="2A2C4281" w:rsidR="003A5178" w:rsidRPr="00FB4797" w:rsidRDefault="00E66AB0" w:rsidP="6F1EDA97">
      <w:pPr>
        <w:pStyle w:val="TDC1"/>
        <w:tabs>
          <w:tab w:val="left" w:pos="435"/>
          <w:tab w:val="right" w:leader="dot" w:pos="9735"/>
        </w:tabs>
        <w:rPr>
          <w:rFonts w:ascii="Calibri" w:eastAsiaTheme="minorEastAsia" w:hAnsi="Calibri" w:cs="Calibri"/>
          <w:noProof/>
          <w:sz w:val="20"/>
          <w:szCs w:val="20"/>
          <w:lang w:val="es-MX" w:eastAsia="es-MX"/>
        </w:rPr>
      </w:pPr>
      <w:hyperlink w:anchor="_Toc828316074">
        <w:r w:rsidR="6F1EDA97" w:rsidRPr="6F1EDA97">
          <w:rPr>
            <w:rStyle w:val="Hipervnculo"/>
          </w:rPr>
          <w:t>3.</w:t>
        </w:r>
        <w:r w:rsidR="62C29527">
          <w:tab/>
        </w:r>
        <w:r w:rsidR="6F1EDA97" w:rsidRPr="6F1EDA97">
          <w:rPr>
            <w:rStyle w:val="Hipervnculo"/>
          </w:rPr>
          <w:t>CARACTERÍSTICAS GENERALES DE LOS EQUIPOS</w:t>
        </w:r>
        <w:r w:rsidR="62C29527">
          <w:tab/>
        </w:r>
        <w:r w:rsidR="62C29527">
          <w:fldChar w:fldCharType="begin"/>
        </w:r>
        <w:r w:rsidR="62C29527">
          <w:instrText>PAGEREF _Toc828316074 \h</w:instrText>
        </w:r>
        <w:r w:rsidR="62C29527">
          <w:fldChar w:fldCharType="separate"/>
        </w:r>
        <w:r w:rsidR="6F1EDA97" w:rsidRPr="6F1EDA97">
          <w:rPr>
            <w:rStyle w:val="Hipervnculo"/>
          </w:rPr>
          <w:t>60</w:t>
        </w:r>
        <w:r w:rsidR="62C29527">
          <w:fldChar w:fldCharType="end"/>
        </w:r>
      </w:hyperlink>
    </w:p>
    <w:p w14:paraId="15400172" w14:textId="5937A80E" w:rsidR="003A5178" w:rsidRPr="00FB4797" w:rsidRDefault="00E66AB0" w:rsidP="6F1EDA97">
      <w:pPr>
        <w:pStyle w:val="TDC2"/>
        <w:tabs>
          <w:tab w:val="left" w:pos="660"/>
          <w:tab w:val="right" w:leader="dot" w:pos="9735"/>
        </w:tabs>
        <w:rPr>
          <w:rFonts w:ascii="Calibri" w:eastAsiaTheme="minorEastAsia" w:hAnsi="Calibri" w:cs="Calibri"/>
          <w:noProof/>
          <w:sz w:val="20"/>
          <w:szCs w:val="20"/>
          <w:lang w:val="es-MX" w:eastAsia="es-MX"/>
        </w:rPr>
      </w:pPr>
      <w:hyperlink w:anchor="_Toc1855518189">
        <w:r w:rsidR="6F1EDA97" w:rsidRPr="6F1EDA97">
          <w:rPr>
            <w:rStyle w:val="Hipervnculo"/>
          </w:rPr>
          <w:t>1.1.</w:t>
        </w:r>
        <w:r w:rsidR="62C29527">
          <w:tab/>
        </w:r>
        <w:r w:rsidR="6F1EDA97" w:rsidRPr="6F1EDA97">
          <w:rPr>
            <w:rStyle w:val="Hipervnculo"/>
          </w:rPr>
          <w:t>Condiciones generales</w:t>
        </w:r>
        <w:r w:rsidR="62C29527">
          <w:tab/>
        </w:r>
        <w:r w:rsidR="62C29527">
          <w:fldChar w:fldCharType="begin"/>
        </w:r>
        <w:r w:rsidR="62C29527">
          <w:instrText>PAGEREF _Toc1855518189 \h</w:instrText>
        </w:r>
        <w:r w:rsidR="62C29527">
          <w:fldChar w:fldCharType="separate"/>
        </w:r>
        <w:r w:rsidR="6F1EDA97" w:rsidRPr="6F1EDA97">
          <w:rPr>
            <w:rStyle w:val="Hipervnculo"/>
          </w:rPr>
          <w:t>60</w:t>
        </w:r>
        <w:r w:rsidR="62C29527">
          <w:fldChar w:fldCharType="end"/>
        </w:r>
      </w:hyperlink>
    </w:p>
    <w:p w14:paraId="5384388C" w14:textId="4AB2B630" w:rsidR="003A5178" w:rsidRPr="00FB4797" w:rsidRDefault="00E66AB0" w:rsidP="6F1EDA97">
      <w:pPr>
        <w:pStyle w:val="TDC2"/>
        <w:tabs>
          <w:tab w:val="left" w:pos="660"/>
          <w:tab w:val="right" w:leader="dot" w:pos="9735"/>
        </w:tabs>
        <w:rPr>
          <w:rFonts w:ascii="Calibri" w:eastAsiaTheme="minorEastAsia" w:hAnsi="Calibri" w:cs="Calibri"/>
          <w:noProof/>
          <w:sz w:val="20"/>
          <w:szCs w:val="20"/>
          <w:lang w:val="es-MX" w:eastAsia="es-MX"/>
        </w:rPr>
      </w:pPr>
      <w:hyperlink w:anchor="_Toc891056791">
        <w:r w:rsidR="6F1EDA97" w:rsidRPr="6F1EDA97">
          <w:rPr>
            <w:rStyle w:val="Hipervnculo"/>
          </w:rPr>
          <w:t>1.2.</w:t>
        </w:r>
        <w:r w:rsidR="62C29527">
          <w:tab/>
        </w:r>
        <w:r w:rsidR="6F1EDA97" w:rsidRPr="6F1EDA97">
          <w:rPr>
            <w:rStyle w:val="Hipervnculo"/>
          </w:rPr>
          <w:t>Condiciones de servicio</w:t>
        </w:r>
        <w:r w:rsidR="62C29527">
          <w:tab/>
        </w:r>
        <w:r w:rsidR="62C29527">
          <w:fldChar w:fldCharType="begin"/>
        </w:r>
        <w:r w:rsidR="62C29527">
          <w:instrText>PAGEREF _Toc891056791 \h</w:instrText>
        </w:r>
        <w:r w:rsidR="62C29527">
          <w:fldChar w:fldCharType="separate"/>
        </w:r>
        <w:r w:rsidR="6F1EDA97" w:rsidRPr="6F1EDA97">
          <w:rPr>
            <w:rStyle w:val="Hipervnculo"/>
          </w:rPr>
          <w:t>61</w:t>
        </w:r>
        <w:r w:rsidR="62C29527">
          <w:fldChar w:fldCharType="end"/>
        </w:r>
      </w:hyperlink>
    </w:p>
    <w:p w14:paraId="127A2D4D" w14:textId="341F6381" w:rsidR="003A5178" w:rsidRPr="00FB4797" w:rsidRDefault="00E66AB0" w:rsidP="6F1EDA97">
      <w:pPr>
        <w:pStyle w:val="TDC2"/>
        <w:tabs>
          <w:tab w:val="left" w:pos="660"/>
          <w:tab w:val="right" w:leader="dot" w:pos="9735"/>
        </w:tabs>
        <w:rPr>
          <w:rFonts w:ascii="Calibri" w:eastAsiaTheme="minorEastAsia" w:hAnsi="Calibri" w:cs="Calibri"/>
          <w:noProof/>
          <w:sz w:val="20"/>
          <w:szCs w:val="20"/>
          <w:lang w:val="es-MX" w:eastAsia="es-MX"/>
        </w:rPr>
      </w:pPr>
      <w:hyperlink w:anchor="_Toc498468599">
        <w:r w:rsidR="6F1EDA97" w:rsidRPr="6F1EDA97">
          <w:rPr>
            <w:rStyle w:val="Hipervnculo"/>
          </w:rPr>
          <w:t>1.3.</w:t>
        </w:r>
        <w:r w:rsidR="62C29527">
          <w:tab/>
        </w:r>
        <w:r w:rsidR="6F1EDA97" w:rsidRPr="6F1EDA97">
          <w:rPr>
            <w:rStyle w:val="Hipervnculo"/>
          </w:rPr>
          <w:t>Características</w:t>
        </w:r>
        <w:r w:rsidR="62C29527">
          <w:tab/>
        </w:r>
        <w:r w:rsidR="62C29527">
          <w:fldChar w:fldCharType="begin"/>
        </w:r>
        <w:r w:rsidR="62C29527">
          <w:instrText>PAGEREF _Toc498468599 \h</w:instrText>
        </w:r>
        <w:r w:rsidR="62C29527">
          <w:fldChar w:fldCharType="separate"/>
        </w:r>
        <w:r w:rsidR="6F1EDA97" w:rsidRPr="6F1EDA97">
          <w:rPr>
            <w:rStyle w:val="Hipervnculo"/>
          </w:rPr>
          <w:t>61</w:t>
        </w:r>
        <w:r w:rsidR="62C29527">
          <w:fldChar w:fldCharType="end"/>
        </w:r>
      </w:hyperlink>
    </w:p>
    <w:p w14:paraId="74289FA9" w14:textId="09EBE7FB" w:rsidR="003A5178" w:rsidRPr="00FB4797" w:rsidRDefault="00E66AB0" w:rsidP="6F1EDA97">
      <w:pPr>
        <w:pStyle w:val="TDC1"/>
        <w:tabs>
          <w:tab w:val="left" w:pos="435"/>
          <w:tab w:val="right" w:leader="dot" w:pos="9735"/>
        </w:tabs>
        <w:rPr>
          <w:rFonts w:ascii="Calibri" w:eastAsiaTheme="minorEastAsia" w:hAnsi="Calibri" w:cs="Calibri"/>
          <w:noProof/>
          <w:sz w:val="20"/>
          <w:szCs w:val="20"/>
          <w:lang w:val="es-MX" w:eastAsia="es-MX"/>
        </w:rPr>
      </w:pPr>
      <w:hyperlink w:anchor="_Toc1100377409">
        <w:r w:rsidR="6F1EDA97" w:rsidRPr="6F1EDA97">
          <w:rPr>
            <w:rStyle w:val="Hipervnculo"/>
          </w:rPr>
          <w:t>4.</w:t>
        </w:r>
        <w:r w:rsidR="62C29527">
          <w:tab/>
        </w:r>
        <w:r w:rsidR="6F1EDA97" w:rsidRPr="6F1EDA97">
          <w:rPr>
            <w:rStyle w:val="Hipervnculo"/>
          </w:rPr>
          <w:t>PRUEBAS DE FUNCIONAMIENTO Y NORMAL OPERACIÓN DE LOS SSFV.</w:t>
        </w:r>
        <w:r w:rsidR="62C29527">
          <w:tab/>
        </w:r>
        <w:r w:rsidR="62C29527">
          <w:fldChar w:fldCharType="begin"/>
        </w:r>
        <w:r w:rsidR="62C29527">
          <w:instrText>PAGEREF _Toc1100377409 \h</w:instrText>
        </w:r>
        <w:r w:rsidR="62C29527">
          <w:fldChar w:fldCharType="separate"/>
        </w:r>
        <w:r w:rsidR="6F1EDA97" w:rsidRPr="6F1EDA97">
          <w:rPr>
            <w:rStyle w:val="Hipervnculo"/>
          </w:rPr>
          <w:t>66</w:t>
        </w:r>
        <w:r w:rsidR="62C29527">
          <w:fldChar w:fldCharType="end"/>
        </w:r>
      </w:hyperlink>
    </w:p>
    <w:p w14:paraId="55821B8B" w14:textId="0FFEAE2A" w:rsidR="003A5178" w:rsidRPr="00FB4797" w:rsidRDefault="00E66AB0" w:rsidP="6F1EDA97">
      <w:pPr>
        <w:pStyle w:val="TDC1"/>
        <w:tabs>
          <w:tab w:val="left" w:pos="435"/>
          <w:tab w:val="right" w:leader="dot" w:pos="9735"/>
        </w:tabs>
        <w:rPr>
          <w:rFonts w:ascii="Calibri" w:eastAsiaTheme="minorEastAsia" w:hAnsi="Calibri" w:cs="Calibri"/>
          <w:noProof/>
          <w:sz w:val="20"/>
          <w:szCs w:val="20"/>
          <w:lang w:val="es-MX" w:eastAsia="es-MX"/>
        </w:rPr>
      </w:pPr>
      <w:hyperlink w:anchor="_Toc1626619461">
        <w:r w:rsidR="6F1EDA97" w:rsidRPr="6F1EDA97">
          <w:rPr>
            <w:rStyle w:val="Hipervnculo"/>
          </w:rPr>
          <w:t>5.</w:t>
        </w:r>
        <w:r w:rsidR="62C29527">
          <w:tab/>
        </w:r>
        <w:r w:rsidR="6F1EDA97" w:rsidRPr="6F1EDA97">
          <w:rPr>
            <w:rStyle w:val="Hipervnculo"/>
          </w:rPr>
          <w:t>ESPECIFICACIONES TÉCNICAS EQUIPOS</w:t>
        </w:r>
        <w:r w:rsidR="62C29527">
          <w:tab/>
        </w:r>
        <w:r w:rsidR="62C29527">
          <w:fldChar w:fldCharType="begin"/>
        </w:r>
        <w:r w:rsidR="62C29527">
          <w:instrText>PAGEREF _Toc1626619461 \h</w:instrText>
        </w:r>
        <w:r w:rsidR="62C29527">
          <w:fldChar w:fldCharType="separate"/>
        </w:r>
        <w:r w:rsidR="6F1EDA97" w:rsidRPr="6F1EDA97">
          <w:rPr>
            <w:rStyle w:val="Hipervnculo"/>
          </w:rPr>
          <w:t>67</w:t>
        </w:r>
        <w:r w:rsidR="62C29527">
          <w:fldChar w:fldCharType="end"/>
        </w:r>
      </w:hyperlink>
    </w:p>
    <w:p w14:paraId="7B6774CA" w14:textId="76D5C388" w:rsidR="003A5178" w:rsidRPr="00FB4797" w:rsidRDefault="00E66AB0" w:rsidP="6F1EDA97">
      <w:pPr>
        <w:pStyle w:val="TDC2"/>
        <w:tabs>
          <w:tab w:val="right" w:leader="dot" w:pos="9735"/>
        </w:tabs>
        <w:rPr>
          <w:rFonts w:ascii="Calibri" w:eastAsiaTheme="minorEastAsia" w:hAnsi="Calibri" w:cs="Calibri"/>
          <w:noProof/>
          <w:sz w:val="20"/>
          <w:szCs w:val="20"/>
          <w:lang w:val="es-MX" w:eastAsia="es-MX"/>
        </w:rPr>
      </w:pPr>
      <w:hyperlink w:anchor="_Toc556031965">
        <w:r w:rsidR="6F1EDA97" w:rsidRPr="6F1EDA97">
          <w:rPr>
            <w:rStyle w:val="Hipervnculo"/>
          </w:rPr>
          <w:t>5.1 Descripción General</w:t>
        </w:r>
        <w:r w:rsidR="62C29527">
          <w:tab/>
        </w:r>
        <w:r w:rsidR="62C29527">
          <w:fldChar w:fldCharType="begin"/>
        </w:r>
        <w:r w:rsidR="62C29527">
          <w:instrText>PAGEREF _Toc556031965 \h</w:instrText>
        </w:r>
        <w:r w:rsidR="62C29527">
          <w:fldChar w:fldCharType="separate"/>
        </w:r>
        <w:r w:rsidR="6F1EDA97" w:rsidRPr="6F1EDA97">
          <w:rPr>
            <w:rStyle w:val="Hipervnculo"/>
          </w:rPr>
          <w:t>67</w:t>
        </w:r>
        <w:r w:rsidR="62C29527">
          <w:fldChar w:fldCharType="end"/>
        </w:r>
      </w:hyperlink>
    </w:p>
    <w:p w14:paraId="4AF86CA8" w14:textId="0E59810E" w:rsidR="003A5178" w:rsidRPr="00FB4797" w:rsidRDefault="00E66AB0" w:rsidP="6F1EDA97">
      <w:pPr>
        <w:pStyle w:val="TDC2"/>
        <w:tabs>
          <w:tab w:val="right" w:leader="dot" w:pos="9735"/>
        </w:tabs>
        <w:rPr>
          <w:rFonts w:ascii="Calibri" w:eastAsiaTheme="minorEastAsia" w:hAnsi="Calibri" w:cs="Calibri"/>
          <w:noProof/>
          <w:sz w:val="20"/>
          <w:szCs w:val="20"/>
          <w:lang w:val="es-MX" w:eastAsia="es-MX"/>
        </w:rPr>
      </w:pPr>
      <w:hyperlink w:anchor="_Toc922916204">
        <w:r w:rsidR="6F1EDA97" w:rsidRPr="6F1EDA97">
          <w:rPr>
            <w:rStyle w:val="Hipervnculo"/>
          </w:rPr>
          <w:t>5.2 Estructura soporte</w:t>
        </w:r>
        <w:r w:rsidR="62C29527">
          <w:tab/>
        </w:r>
        <w:r w:rsidR="62C29527">
          <w:fldChar w:fldCharType="begin"/>
        </w:r>
        <w:r w:rsidR="62C29527">
          <w:instrText>PAGEREF _Toc922916204 \h</w:instrText>
        </w:r>
        <w:r w:rsidR="62C29527">
          <w:fldChar w:fldCharType="separate"/>
        </w:r>
        <w:r w:rsidR="6F1EDA97" w:rsidRPr="6F1EDA97">
          <w:rPr>
            <w:rStyle w:val="Hipervnculo"/>
          </w:rPr>
          <w:t>69</w:t>
        </w:r>
        <w:r w:rsidR="62C29527">
          <w:fldChar w:fldCharType="end"/>
        </w:r>
      </w:hyperlink>
    </w:p>
    <w:p w14:paraId="376D4BDD" w14:textId="7D2F657F" w:rsidR="003A5178" w:rsidRPr="00FB4797" w:rsidRDefault="00E66AB0" w:rsidP="6F1EDA97">
      <w:pPr>
        <w:pStyle w:val="TDC1"/>
        <w:tabs>
          <w:tab w:val="left" w:pos="435"/>
          <w:tab w:val="right" w:leader="dot" w:pos="9735"/>
        </w:tabs>
        <w:rPr>
          <w:rFonts w:ascii="Calibri" w:eastAsiaTheme="minorEastAsia" w:hAnsi="Calibri" w:cs="Calibri"/>
          <w:noProof/>
          <w:sz w:val="20"/>
          <w:szCs w:val="20"/>
          <w:lang w:val="es-MX" w:eastAsia="es-MX"/>
        </w:rPr>
      </w:pPr>
      <w:hyperlink w:anchor="_Toc859555188">
        <w:r w:rsidR="6F1EDA97" w:rsidRPr="6F1EDA97">
          <w:rPr>
            <w:rStyle w:val="Hipervnculo"/>
          </w:rPr>
          <w:t>6.</w:t>
        </w:r>
        <w:r w:rsidR="62C29527">
          <w:tab/>
        </w:r>
        <w:r w:rsidR="6F1EDA97" w:rsidRPr="6F1EDA97">
          <w:rPr>
            <w:rStyle w:val="Hipervnculo"/>
          </w:rPr>
          <w:t>OBLIGACIONES DEL CONTRATISTA IMPLEMENTADOR EN MATERIA DE SEGURIDAD Y SALUD EN EL TRABAJO</w:t>
        </w:r>
        <w:r w:rsidR="62C29527">
          <w:tab/>
        </w:r>
        <w:r w:rsidR="62C29527">
          <w:fldChar w:fldCharType="begin"/>
        </w:r>
        <w:r w:rsidR="62C29527">
          <w:instrText>PAGEREF _Toc859555188 \h</w:instrText>
        </w:r>
        <w:r w:rsidR="62C29527">
          <w:fldChar w:fldCharType="separate"/>
        </w:r>
        <w:r w:rsidR="6F1EDA97" w:rsidRPr="6F1EDA97">
          <w:rPr>
            <w:rStyle w:val="Hipervnculo"/>
          </w:rPr>
          <w:t>69</w:t>
        </w:r>
        <w:r w:rsidR="62C29527">
          <w:fldChar w:fldCharType="end"/>
        </w:r>
      </w:hyperlink>
    </w:p>
    <w:p w14:paraId="77042729" w14:textId="147F6929" w:rsidR="003A5178" w:rsidRPr="00FB4797" w:rsidRDefault="00E66AB0" w:rsidP="6F1EDA97">
      <w:pPr>
        <w:pStyle w:val="TDC1"/>
        <w:tabs>
          <w:tab w:val="left" w:pos="435"/>
          <w:tab w:val="right" w:leader="dot" w:pos="9735"/>
        </w:tabs>
        <w:rPr>
          <w:rFonts w:ascii="Calibri" w:eastAsiaTheme="minorEastAsia" w:hAnsi="Calibri" w:cs="Calibri"/>
          <w:noProof/>
          <w:sz w:val="20"/>
          <w:szCs w:val="20"/>
          <w:lang w:val="es-MX" w:eastAsia="es-MX"/>
        </w:rPr>
      </w:pPr>
      <w:hyperlink w:anchor="_Toc1192915028">
        <w:r w:rsidR="6F1EDA97" w:rsidRPr="6F1EDA97">
          <w:rPr>
            <w:rStyle w:val="Hipervnculo"/>
          </w:rPr>
          <w:t>7.</w:t>
        </w:r>
        <w:r w:rsidR="62C29527">
          <w:tab/>
        </w:r>
        <w:r w:rsidR="6F1EDA97" w:rsidRPr="6F1EDA97">
          <w:rPr>
            <w:rStyle w:val="Hipervnculo"/>
          </w:rPr>
          <w:t>OBLIGACIONES DEL CONTRATISTA EN CUANTO AL TRANSPORTE E INSTALACIÓN DE EQUIPOS DE LABORATORIO</w:t>
        </w:r>
        <w:r w:rsidR="62C29527">
          <w:tab/>
        </w:r>
        <w:r w:rsidR="62C29527">
          <w:fldChar w:fldCharType="begin"/>
        </w:r>
        <w:r w:rsidR="62C29527">
          <w:instrText>PAGEREF _Toc1192915028 \h</w:instrText>
        </w:r>
        <w:r w:rsidR="62C29527">
          <w:fldChar w:fldCharType="separate"/>
        </w:r>
        <w:r w:rsidR="6F1EDA97" w:rsidRPr="6F1EDA97">
          <w:rPr>
            <w:rStyle w:val="Hipervnculo"/>
          </w:rPr>
          <w:t>71</w:t>
        </w:r>
        <w:r w:rsidR="62C29527">
          <w:fldChar w:fldCharType="end"/>
        </w:r>
      </w:hyperlink>
    </w:p>
    <w:p w14:paraId="755F53D7" w14:textId="5783C8F4" w:rsidR="003A5178" w:rsidRPr="00FB4797" w:rsidRDefault="00E66AB0" w:rsidP="6F1EDA97">
      <w:pPr>
        <w:pStyle w:val="TDC1"/>
        <w:tabs>
          <w:tab w:val="left" w:pos="435"/>
          <w:tab w:val="right" w:leader="dot" w:pos="9735"/>
        </w:tabs>
        <w:rPr>
          <w:rFonts w:ascii="Calibri" w:eastAsiaTheme="minorEastAsia" w:hAnsi="Calibri" w:cs="Calibri"/>
          <w:noProof/>
          <w:sz w:val="20"/>
          <w:szCs w:val="20"/>
          <w:lang w:val="es-MX" w:eastAsia="es-MX"/>
        </w:rPr>
      </w:pPr>
      <w:hyperlink w:anchor="_Toc1469126739">
        <w:r w:rsidR="6F1EDA97" w:rsidRPr="6F1EDA97">
          <w:rPr>
            <w:rStyle w:val="Hipervnculo"/>
          </w:rPr>
          <w:t>8.</w:t>
        </w:r>
        <w:r w:rsidR="62C29527">
          <w:tab/>
        </w:r>
        <w:r w:rsidR="6F1EDA97" w:rsidRPr="6F1EDA97">
          <w:rPr>
            <w:rStyle w:val="Hipervnculo"/>
          </w:rPr>
          <w:t>OBLIGACIONES DEL EVENTUAL CONTRATISTA EN CUANTO AL ASEGURAMIENTO DE LA CALIDAD</w:t>
        </w:r>
        <w:r w:rsidR="62C29527">
          <w:tab/>
        </w:r>
        <w:r w:rsidR="62C29527">
          <w:fldChar w:fldCharType="begin"/>
        </w:r>
        <w:r w:rsidR="62C29527">
          <w:instrText>PAGEREF _Toc1469126739 \h</w:instrText>
        </w:r>
        <w:r w:rsidR="62C29527">
          <w:fldChar w:fldCharType="separate"/>
        </w:r>
        <w:r w:rsidR="6F1EDA97" w:rsidRPr="6F1EDA97">
          <w:rPr>
            <w:rStyle w:val="Hipervnculo"/>
          </w:rPr>
          <w:t>71</w:t>
        </w:r>
        <w:r w:rsidR="62C29527">
          <w:fldChar w:fldCharType="end"/>
        </w:r>
      </w:hyperlink>
    </w:p>
    <w:p w14:paraId="65205A5C" w14:textId="479C5512" w:rsidR="003A5178" w:rsidRPr="00FB4797" w:rsidRDefault="00E66AB0" w:rsidP="6F1EDA97">
      <w:pPr>
        <w:pStyle w:val="TDC1"/>
        <w:tabs>
          <w:tab w:val="left" w:pos="435"/>
          <w:tab w:val="right" w:leader="dot" w:pos="9735"/>
        </w:tabs>
        <w:rPr>
          <w:rFonts w:ascii="Calibri" w:eastAsiaTheme="minorEastAsia" w:hAnsi="Calibri" w:cs="Calibri"/>
          <w:noProof/>
          <w:sz w:val="20"/>
          <w:szCs w:val="20"/>
          <w:lang w:val="es-MX" w:eastAsia="es-MX"/>
        </w:rPr>
      </w:pPr>
      <w:hyperlink w:anchor="_Toc214568545">
        <w:r w:rsidR="6F1EDA97" w:rsidRPr="6F1EDA97">
          <w:rPr>
            <w:rStyle w:val="Hipervnculo"/>
          </w:rPr>
          <w:t>9.</w:t>
        </w:r>
        <w:r w:rsidR="62C29527">
          <w:tab/>
        </w:r>
        <w:r w:rsidR="6F1EDA97" w:rsidRPr="6F1EDA97">
          <w:rPr>
            <w:rStyle w:val="Hipervnculo"/>
          </w:rPr>
          <w:t>COMISIONAMIENTO</w:t>
        </w:r>
        <w:r w:rsidR="62C29527">
          <w:tab/>
        </w:r>
        <w:r w:rsidR="62C29527">
          <w:fldChar w:fldCharType="begin"/>
        </w:r>
        <w:r w:rsidR="62C29527">
          <w:instrText>PAGEREF _Toc214568545 \h</w:instrText>
        </w:r>
        <w:r w:rsidR="62C29527">
          <w:fldChar w:fldCharType="separate"/>
        </w:r>
        <w:r w:rsidR="6F1EDA97" w:rsidRPr="6F1EDA97">
          <w:rPr>
            <w:rStyle w:val="Hipervnculo"/>
          </w:rPr>
          <w:t>71</w:t>
        </w:r>
        <w:r w:rsidR="62C29527">
          <w:fldChar w:fldCharType="end"/>
        </w:r>
      </w:hyperlink>
    </w:p>
    <w:p w14:paraId="253773FC" w14:textId="62628776" w:rsidR="003A5178" w:rsidRPr="00FB4797" w:rsidRDefault="00E66AB0" w:rsidP="6F1EDA97">
      <w:pPr>
        <w:pStyle w:val="TDC2"/>
        <w:tabs>
          <w:tab w:val="right" w:leader="dot" w:pos="9735"/>
        </w:tabs>
        <w:rPr>
          <w:rFonts w:ascii="Calibri" w:eastAsiaTheme="minorEastAsia" w:hAnsi="Calibri" w:cs="Calibri"/>
          <w:noProof/>
          <w:sz w:val="20"/>
          <w:szCs w:val="20"/>
          <w:lang w:val="es-MX" w:eastAsia="es-MX"/>
        </w:rPr>
      </w:pPr>
      <w:hyperlink w:anchor="_Toc1456123646">
        <w:r w:rsidR="6F1EDA97" w:rsidRPr="6F1EDA97">
          <w:rPr>
            <w:rStyle w:val="Hipervnculo"/>
          </w:rPr>
          <w:t>9.1 Pruebas para SSFV</w:t>
        </w:r>
        <w:r w:rsidR="62C29527">
          <w:tab/>
        </w:r>
        <w:r w:rsidR="62C29527">
          <w:fldChar w:fldCharType="begin"/>
        </w:r>
        <w:r w:rsidR="62C29527">
          <w:instrText>PAGEREF _Toc1456123646 \h</w:instrText>
        </w:r>
        <w:r w:rsidR="62C29527">
          <w:fldChar w:fldCharType="separate"/>
        </w:r>
        <w:r w:rsidR="6F1EDA97" w:rsidRPr="6F1EDA97">
          <w:rPr>
            <w:rStyle w:val="Hipervnculo"/>
          </w:rPr>
          <w:t>72</w:t>
        </w:r>
        <w:r w:rsidR="62C29527">
          <w:fldChar w:fldCharType="end"/>
        </w:r>
      </w:hyperlink>
    </w:p>
    <w:p w14:paraId="5B6947FD" w14:textId="2F9D1ECB" w:rsidR="003A5178" w:rsidRPr="00FB4797" w:rsidRDefault="00E66AB0" w:rsidP="6F1EDA97">
      <w:pPr>
        <w:pStyle w:val="TDC2"/>
        <w:tabs>
          <w:tab w:val="right" w:leader="dot" w:pos="9735"/>
        </w:tabs>
        <w:rPr>
          <w:rFonts w:ascii="Calibri" w:eastAsiaTheme="minorEastAsia" w:hAnsi="Calibri" w:cs="Calibri"/>
          <w:noProof/>
          <w:sz w:val="20"/>
          <w:szCs w:val="20"/>
          <w:lang w:val="es-MX" w:eastAsia="es-MX"/>
        </w:rPr>
      </w:pPr>
      <w:hyperlink w:anchor="_Toc934272677">
        <w:r w:rsidR="6F1EDA97" w:rsidRPr="6F1EDA97">
          <w:rPr>
            <w:rStyle w:val="Hipervnculo"/>
          </w:rPr>
          <w:t>9.2 Pruebas para batería de Litio.</w:t>
        </w:r>
        <w:r w:rsidR="62C29527">
          <w:tab/>
        </w:r>
        <w:r w:rsidR="62C29527">
          <w:fldChar w:fldCharType="begin"/>
        </w:r>
        <w:r w:rsidR="62C29527">
          <w:instrText>PAGEREF _Toc934272677 \h</w:instrText>
        </w:r>
        <w:r w:rsidR="62C29527">
          <w:fldChar w:fldCharType="separate"/>
        </w:r>
        <w:r w:rsidR="6F1EDA97" w:rsidRPr="6F1EDA97">
          <w:rPr>
            <w:rStyle w:val="Hipervnculo"/>
          </w:rPr>
          <w:t>73</w:t>
        </w:r>
        <w:r w:rsidR="62C29527">
          <w:fldChar w:fldCharType="end"/>
        </w:r>
      </w:hyperlink>
    </w:p>
    <w:p w14:paraId="70FB8CA6" w14:textId="69113560" w:rsidR="003A5178" w:rsidRPr="00FB4797" w:rsidRDefault="00E66AB0" w:rsidP="6F1EDA97">
      <w:pPr>
        <w:pStyle w:val="TDC2"/>
        <w:tabs>
          <w:tab w:val="right" w:leader="dot" w:pos="9735"/>
        </w:tabs>
        <w:rPr>
          <w:rFonts w:ascii="Calibri" w:eastAsiaTheme="minorEastAsia" w:hAnsi="Calibri" w:cs="Calibri"/>
          <w:noProof/>
          <w:sz w:val="20"/>
          <w:szCs w:val="20"/>
          <w:lang w:val="es-MX" w:eastAsia="es-MX"/>
        </w:rPr>
      </w:pPr>
      <w:hyperlink w:anchor="_Toc1413771096">
        <w:r w:rsidR="6F1EDA97" w:rsidRPr="6F1EDA97">
          <w:rPr>
            <w:rStyle w:val="Hipervnculo"/>
          </w:rPr>
          <w:t>9.3 Pruebas para instalaciones eléctricas internas.</w:t>
        </w:r>
        <w:r w:rsidR="62C29527">
          <w:tab/>
        </w:r>
        <w:r w:rsidR="62C29527">
          <w:fldChar w:fldCharType="begin"/>
        </w:r>
        <w:r w:rsidR="62C29527">
          <w:instrText>PAGEREF _Toc1413771096 \h</w:instrText>
        </w:r>
        <w:r w:rsidR="62C29527">
          <w:fldChar w:fldCharType="separate"/>
        </w:r>
        <w:r w:rsidR="6F1EDA97" w:rsidRPr="6F1EDA97">
          <w:rPr>
            <w:rStyle w:val="Hipervnculo"/>
          </w:rPr>
          <w:t>74</w:t>
        </w:r>
        <w:r w:rsidR="62C29527">
          <w:fldChar w:fldCharType="end"/>
        </w:r>
      </w:hyperlink>
    </w:p>
    <w:p w14:paraId="7D4FB10A" w14:textId="1AC5C3F6" w:rsidR="003A5178" w:rsidRPr="00FB4797" w:rsidRDefault="00E66AB0" w:rsidP="6F1EDA97">
      <w:pPr>
        <w:pStyle w:val="TDC1"/>
        <w:tabs>
          <w:tab w:val="left" w:pos="435"/>
          <w:tab w:val="right" w:leader="dot" w:pos="9735"/>
        </w:tabs>
        <w:rPr>
          <w:rFonts w:ascii="Calibri" w:eastAsiaTheme="minorEastAsia" w:hAnsi="Calibri" w:cs="Calibri"/>
          <w:noProof/>
          <w:sz w:val="20"/>
          <w:szCs w:val="20"/>
          <w:lang w:val="es-MX" w:eastAsia="es-MX"/>
        </w:rPr>
      </w:pPr>
      <w:hyperlink w:anchor="_Toc1844364003">
        <w:r w:rsidR="6F1EDA97" w:rsidRPr="6F1EDA97">
          <w:rPr>
            <w:rStyle w:val="Hipervnculo"/>
          </w:rPr>
          <w:t>10.</w:t>
        </w:r>
        <w:r w:rsidR="62C29527">
          <w:tab/>
        </w:r>
        <w:r w:rsidR="6F1EDA97" w:rsidRPr="6F1EDA97">
          <w:rPr>
            <w:rStyle w:val="Hipervnculo"/>
          </w:rPr>
          <w:t>OBLIGACIONES DEL CONTRATISTA EN CUANTO A OPERACIÓN Y MANTENIMIENTO</w:t>
        </w:r>
        <w:r w:rsidR="62C29527">
          <w:tab/>
        </w:r>
        <w:r w:rsidR="62C29527">
          <w:fldChar w:fldCharType="begin"/>
        </w:r>
        <w:r w:rsidR="62C29527">
          <w:instrText>PAGEREF _Toc1844364003 \h</w:instrText>
        </w:r>
        <w:r w:rsidR="62C29527">
          <w:fldChar w:fldCharType="separate"/>
        </w:r>
        <w:r w:rsidR="6F1EDA97" w:rsidRPr="6F1EDA97">
          <w:rPr>
            <w:rStyle w:val="Hipervnculo"/>
          </w:rPr>
          <w:t>74</w:t>
        </w:r>
        <w:r w:rsidR="62C29527">
          <w:fldChar w:fldCharType="end"/>
        </w:r>
      </w:hyperlink>
    </w:p>
    <w:p w14:paraId="7547CCD5" w14:textId="6BF4A9B8" w:rsidR="003A5178" w:rsidRPr="00FB4797" w:rsidRDefault="00E66AB0" w:rsidP="6F1EDA97">
      <w:pPr>
        <w:pStyle w:val="TDC2"/>
        <w:tabs>
          <w:tab w:val="right" w:leader="dot" w:pos="9735"/>
        </w:tabs>
        <w:rPr>
          <w:rFonts w:ascii="Calibri" w:eastAsiaTheme="minorEastAsia" w:hAnsi="Calibri" w:cs="Calibri"/>
          <w:noProof/>
          <w:sz w:val="20"/>
          <w:szCs w:val="20"/>
          <w:lang w:val="es-MX" w:eastAsia="es-MX"/>
        </w:rPr>
      </w:pPr>
      <w:hyperlink w:anchor="_Toc1910015307">
        <w:r w:rsidR="6F1EDA97" w:rsidRPr="6F1EDA97">
          <w:rPr>
            <w:rStyle w:val="Hipervnculo"/>
          </w:rPr>
          <w:t>10.1 Operación</w:t>
        </w:r>
        <w:r w:rsidR="62C29527">
          <w:tab/>
        </w:r>
        <w:r w:rsidR="62C29527">
          <w:fldChar w:fldCharType="begin"/>
        </w:r>
        <w:r w:rsidR="62C29527">
          <w:instrText>PAGEREF _Toc1910015307 \h</w:instrText>
        </w:r>
        <w:r w:rsidR="62C29527">
          <w:fldChar w:fldCharType="separate"/>
        </w:r>
        <w:r w:rsidR="6F1EDA97" w:rsidRPr="6F1EDA97">
          <w:rPr>
            <w:rStyle w:val="Hipervnculo"/>
          </w:rPr>
          <w:t>74</w:t>
        </w:r>
        <w:r w:rsidR="62C29527">
          <w:fldChar w:fldCharType="end"/>
        </w:r>
      </w:hyperlink>
    </w:p>
    <w:p w14:paraId="5E89FF7D" w14:textId="33213324" w:rsidR="003A5178" w:rsidRPr="00FB4797" w:rsidRDefault="00E66AB0" w:rsidP="6F1EDA97">
      <w:pPr>
        <w:pStyle w:val="TDC2"/>
        <w:tabs>
          <w:tab w:val="right" w:leader="dot" w:pos="9735"/>
        </w:tabs>
        <w:rPr>
          <w:rFonts w:ascii="Calibri" w:eastAsiaTheme="minorEastAsia" w:hAnsi="Calibri" w:cs="Calibri"/>
          <w:noProof/>
          <w:sz w:val="20"/>
          <w:szCs w:val="20"/>
          <w:lang w:val="es-MX" w:eastAsia="es-MX"/>
        </w:rPr>
      </w:pPr>
      <w:hyperlink w:anchor="_Toc907629446">
        <w:r w:rsidR="6F1EDA97" w:rsidRPr="6F1EDA97">
          <w:rPr>
            <w:rStyle w:val="Hipervnculo"/>
          </w:rPr>
          <w:t>10.2 Mantenimiento preventivo</w:t>
        </w:r>
        <w:r w:rsidR="62C29527">
          <w:tab/>
        </w:r>
        <w:r w:rsidR="62C29527">
          <w:fldChar w:fldCharType="begin"/>
        </w:r>
        <w:r w:rsidR="62C29527">
          <w:instrText>PAGEREF _Toc907629446 \h</w:instrText>
        </w:r>
        <w:r w:rsidR="62C29527">
          <w:fldChar w:fldCharType="separate"/>
        </w:r>
        <w:r w:rsidR="6F1EDA97" w:rsidRPr="6F1EDA97">
          <w:rPr>
            <w:rStyle w:val="Hipervnculo"/>
          </w:rPr>
          <w:t>74</w:t>
        </w:r>
        <w:r w:rsidR="62C29527">
          <w:fldChar w:fldCharType="end"/>
        </w:r>
      </w:hyperlink>
    </w:p>
    <w:p w14:paraId="6F1B3ED7" w14:textId="1CE4BF89" w:rsidR="003A5178" w:rsidRPr="00FB4797" w:rsidRDefault="00E66AB0" w:rsidP="6F1EDA97">
      <w:pPr>
        <w:pStyle w:val="TDC2"/>
        <w:tabs>
          <w:tab w:val="right" w:leader="dot" w:pos="9735"/>
        </w:tabs>
        <w:rPr>
          <w:rFonts w:ascii="Calibri" w:eastAsiaTheme="minorEastAsia" w:hAnsi="Calibri" w:cs="Calibri"/>
          <w:noProof/>
          <w:sz w:val="20"/>
          <w:szCs w:val="20"/>
          <w:lang w:val="es-MX" w:eastAsia="es-MX"/>
        </w:rPr>
      </w:pPr>
      <w:hyperlink w:anchor="_Toc247954970">
        <w:r w:rsidR="6F1EDA97" w:rsidRPr="6F1EDA97">
          <w:rPr>
            <w:rStyle w:val="Hipervnculo"/>
          </w:rPr>
          <w:t>10.3 Mantenimiento por garantía</w:t>
        </w:r>
        <w:r w:rsidR="62C29527">
          <w:tab/>
        </w:r>
        <w:r w:rsidR="62C29527">
          <w:fldChar w:fldCharType="begin"/>
        </w:r>
        <w:r w:rsidR="62C29527">
          <w:instrText>PAGEREF _Toc247954970 \h</w:instrText>
        </w:r>
        <w:r w:rsidR="62C29527">
          <w:fldChar w:fldCharType="separate"/>
        </w:r>
        <w:r w:rsidR="6F1EDA97" w:rsidRPr="6F1EDA97">
          <w:rPr>
            <w:rStyle w:val="Hipervnculo"/>
          </w:rPr>
          <w:t>75</w:t>
        </w:r>
        <w:r w:rsidR="62C29527">
          <w:fldChar w:fldCharType="end"/>
        </w:r>
      </w:hyperlink>
    </w:p>
    <w:p w14:paraId="0346B58C" w14:textId="15199593" w:rsidR="003A5178" w:rsidRPr="00FB4797" w:rsidRDefault="00E66AB0" w:rsidP="6F1EDA97">
      <w:pPr>
        <w:pStyle w:val="TDC2"/>
        <w:tabs>
          <w:tab w:val="right" w:leader="dot" w:pos="9735"/>
        </w:tabs>
        <w:rPr>
          <w:rFonts w:ascii="Calibri" w:eastAsiaTheme="minorEastAsia" w:hAnsi="Calibri" w:cs="Calibri"/>
          <w:noProof/>
          <w:sz w:val="20"/>
          <w:szCs w:val="20"/>
          <w:lang w:val="es-MX" w:eastAsia="es-MX"/>
        </w:rPr>
      </w:pPr>
      <w:hyperlink w:anchor="_Toc664762516">
        <w:r w:rsidR="6F1EDA97" w:rsidRPr="6F1EDA97">
          <w:rPr>
            <w:rStyle w:val="Hipervnculo"/>
          </w:rPr>
          <w:t>10.4 Monitoreo y Análisis de Datos</w:t>
        </w:r>
        <w:r w:rsidR="62C29527">
          <w:tab/>
        </w:r>
        <w:r w:rsidR="62C29527">
          <w:fldChar w:fldCharType="begin"/>
        </w:r>
        <w:r w:rsidR="62C29527">
          <w:instrText>PAGEREF _Toc664762516 \h</w:instrText>
        </w:r>
        <w:r w:rsidR="62C29527">
          <w:fldChar w:fldCharType="separate"/>
        </w:r>
        <w:r w:rsidR="6F1EDA97" w:rsidRPr="6F1EDA97">
          <w:rPr>
            <w:rStyle w:val="Hipervnculo"/>
          </w:rPr>
          <w:t>75</w:t>
        </w:r>
        <w:r w:rsidR="62C29527">
          <w:fldChar w:fldCharType="end"/>
        </w:r>
      </w:hyperlink>
    </w:p>
    <w:p w14:paraId="4AAF5DA7" w14:textId="70B45FD0" w:rsidR="003A5178" w:rsidRPr="00FB4797" w:rsidRDefault="00E66AB0" w:rsidP="6F1EDA97">
      <w:pPr>
        <w:pStyle w:val="TDC2"/>
        <w:tabs>
          <w:tab w:val="right" w:leader="dot" w:pos="9735"/>
        </w:tabs>
        <w:rPr>
          <w:rFonts w:ascii="Calibri" w:eastAsiaTheme="minorEastAsia" w:hAnsi="Calibri" w:cs="Calibri"/>
          <w:noProof/>
          <w:sz w:val="20"/>
          <w:szCs w:val="20"/>
          <w:lang w:val="es-MX" w:eastAsia="es-MX"/>
        </w:rPr>
      </w:pPr>
      <w:hyperlink w:anchor="_Toc1387629543">
        <w:r w:rsidR="6F1EDA97" w:rsidRPr="6F1EDA97">
          <w:rPr>
            <w:rStyle w:val="Hipervnculo"/>
          </w:rPr>
          <w:t>10.5 Seguridad y Cumplimiento Ambiental</w:t>
        </w:r>
        <w:r w:rsidR="62C29527">
          <w:tab/>
        </w:r>
        <w:r w:rsidR="62C29527">
          <w:fldChar w:fldCharType="begin"/>
        </w:r>
        <w:r w:rsidR="62C29527">
          <w:instrText>PAGEREF _Toc1387629543 \h</w:instrText>
        </w:r>
        <w:r w:rsidR="62C29527">
          <w:fldChar w:fldCharType="separate"/>
        </w:r>
        <w:r w:rsidR="6F1EDA97" w:rsidRPr="6F1EDA97">
          <w:rPr>
            <w:rStyle w:val="Hipervnculo"/>
          </w:rPr>
          <w:t>76</w:t>
        </w:r>
        <w:r w:rsidR="62C29527">
          <w:fldChar w:fldCharType="end"/>
        </w:r>
      </w:hyperlink>
    </w:p>
    <w:p w14:paraId="44A8A670" w14:textId="15277778" w:rsidR="003A5178" w:rsidRPr="00FB4797" w:rsidRDefault="00E66AB0" w:rsidP="6F1EDA97">
      <w:pPr>
        <w:pStyle w:val="TDC2"/>
        <w:tabs>
          <w:tab w:val="right" w:leader="dot" w:pos="9735"/>
        </w:tabs>
        <w:rPr>
          <w:rFonts w:ascii="Calibri" w:eastAsiaTheme="minorEastAsia" w:hAnsi="Calibri" w:cs="Calibri"/>
          <w:noProof/>
          <w:sz w:val="20"/>
          <w:szCs w:val="20"/>
          <w:lang w:val="es-MX" w:eastAsia="es-MX"/>
        </w:rPr>
      </w:pPr>
      <w:hyperlink w:anchor="_Toc1393666151">
        <w:r w:rsidR="6F1EDA97" w:rsidRPr="6F1EDA97">
          <w:rPr>
            <w:rStyle w:val="Hipervnculo"/>
          </w:rPr>
          <w:t>10.6 Gestión de Repuestos y logística</w:t>
        </w:r>
        <w:r w:rsidR="62C29527">
          <w:tab/>
        </w:r>
        <w:r w:rsidR="62C29527">
          <w:fldChar w:fldCharType="begin"/>
        </w:r>
        <w:r w:rsidR="62C29527">
          <w:instrText>PAGEREF _Toc1393666151 \h</w:instrText>
        </w:r>
        <w:r w:rsidR="62C29527">
          <w:fldChar w:fldCharType="separate"/>
        </w:r>
        <w:r w:rsidR="6F1EDA97" w:rsidRPr="6F1EDA97">
          <w:rPr>
            <w:rStyle w:val="Hipervnculo"/>
          </w:rPr>
          <w:t>76</w:t>
        </w:r>
        <w:r w:rsidR="62C29527">
          <w:fldChar w:fldCharType="end"/>
        </w:r>
      </w:hyperlink>
    </w:p>
    <w:p w14:paraId="1505EE35" w14:textId="44EA3CD9" w:rsidR="003A5178" w:rsidRPr="00FB4797" w:rsidRDefault="00E66AB0" w:rsidP="6F1EDA97">
      <w:pPr>
        <w:pStyle w:val="TDC2"/>
        <w:tabs>
          <w:tab w:val="right" w:leader="dot" w:pos="9735"/>
        </w:tabs>
        <w:rPr>
          <w:rFonts w:ascii="Calibri" w:eastAsiaTheme="minorEastAsia" w:hAnsi="Calibri" w:cs="Calibri"/>
          <w:noProof/>
          <w:sz w:val="20"/>
          <w:szCs w:val="20"/>
          <w:lang w:val="es-MX" w:eastAsia="es-MX"/>
        </w:rPr>
      </w:pPr>
      <w:hyperlink w:anchor="_Toc1475801109">
        <w:r w:rsidR="6F1EDA97" w:rsidRPr="6F1EDA97">
          <w:rPr>
            <w:rStyle w:val="Hipervnculo"/>
          </w:rPr>
          <w:t>10.7 Capacitación y Gestión del Personal</w:t>
        </w:r>
        <w:r w:rsidR="62C29527">
          <w:tab/>
        </w:r>
        <w:r w:rsidR="62C29527">
          <w:fldChar w:fldCharType="begin"/>
        </w:r>
        <w:r w:rsidR="62C29527">
          <w:instrText>PAGEREF _Toc1475801109 \h</w:instrText>
        </w:r>
        <w:r w:rsidR="62C29527">
          <w:fldChar w:fldCharType="separate"/>
        </w:r>
        <w:r w:rsidR="6F1EDA97" w:rsidRPr="6F1EDA97">
          <w:rPr>
            <w:rStyle w:val="Hipervnculo"/>
          </w:rPr>
          <w:t>77</w:t>
        </w:r>
        <w:r w:rsidR="62C29527">
          <w:fldChar w:fldCharType="end"/>
        </w:r>
      </w:hyperlink>
    </w:p>
    <w:p w14:paraId="1F9020BA" w14:textId="2A075809" w:rsidR="003A5178" w:rsidRPr="00FB4797" w:rsidRDefault="00E66AB0" w:rsidP="6F1EDA97">
      <w:pPr>
        <w:pStyle w:val="TDC2"/>
        <w:tabs>
          <w:tab w:val="right" w:leader="dot" w:pos="9735"/>
        </w:tabs>
        <w:rPr>
          <w:rFonts w:ascii="Calibri" w:eastAsiaTheme="minorEastAsia" w:hAnsi="Calibri" w:cs="Calibri"/>
          <w:noProof/>
          <w:sz w:val="20"/>
          <w:szCs w:val="20"/>
          <w:lang w:val="es-MX" w:eastAsia="es-MX"/>
        </w:rPr>
      </w:pPr>
      <w:hyperlink w:anchor="_Toc1448724199">
        <w:r w:rsidR="6F1EDA97" w:rsidRPr="6F1EDA97">
          <w:rPr>
            <w:rStyle w:val="Hipervnculo"/>
          </w:rPr>
          <w:t>10.8 Pruebas requeridas</w:t>
        </w:r>
        <w:r w:rsidR="62C29527">
          <w:tab/>
        </w:r>
        <w:r w:rsidR="62C29527">
          <w:fldChar w:fldCharType="begin"/>
        </w:r>
        <w:r w:rsidR="62C29527">
          <w:instrText>PAGEREF _Toc1448724199 \h</w:instrText>
        </w:r>
        <w:r w:rsidR="62C29527">
          <w:fldChar w:fldCharType="separate"/>
        </w:r>
        <w:r w:rsidR="6F1EDA97" w:rsidRPr="6F1EDA97">
          <w:rPr>
            <w:rStyle w:val="Hipervnculo"/>
          </w:rPr>
          <w:t>77</w:t>
        </w:r>
        <w:r w:rsidR="62C29527">
          <w:fldChar w:fldCharType="end"/>
        </w:r>
      </w:hyperlink>
    </w:p>
    <w:p w14:paraId="3F9E9ACF" w14:textId="11B0FBEC" w:rsidR="3C234025" w:rsidRDefault="00E66AB0" w:rsidP="6F1EDA97">
      <w:pPr>
        <w:pStyle w:val="TDC1"/>
        <w:tabs>
          <w:tab w:val="left" w:pos="435"/>
          <w:tab w:val="right" w:leader="dot" w:pos="9735"/>
        </w:tabs>
      </w:pPr>
      <w:hyperlink w:anchor="_Toc894186619">
        <w:r w:rsidR="6F1EDA97" w:rsidRPr="6F1EDA97">
          <w:rPr>
            <w:rStyle w:val="Hipervnculo"/>
          </w:rPr>
          <w:t>11.</w:t>
        </w:r>
        <w:r w:rsidR="3C234025">
          <w:tab/>
        </w:r>
        <w:r w:rsidR="6F1EDA97" w:rsidRPr="6F1EDA97">
          <w:rPr>
            <w:rStyle w:val="Hipervnculo"/>
          </w:rPr>
          <w:t>RECONOCIMIENTO ÍTEMS NO PREVISTOS U OBRAS COMPLEMENTARIAS</w:t>
        </w:r>
        <w:r w:rsidR="3C234025">
          <w:tab/>
        </w:r>
        <w:r w:rsidR="3C234025">
          <w:fldChar w:fldCharType="begin"/>
        </w:r>
        <w:r w:rsidR="3C234025">
          <w:instrText>PAGEREF _Toc894186619 \h</w:instrText>
        </w:r>
        <w:r w:rsidR="3C234025">
          <w:fldChar w:fldCharType="separate"/>
        </w:r>
        <w:r w:rsidR="6F1EDA97" w:rsidRPr="6F1EDA97">
          <w:rPr>
            <w:rStyle w:val="Hipervnculo"/>
          </w:rPr>
          <w:t>78</w:t>
        </w:r>
        <w:r w:rsidR="3C234025">
          <w:fldChar w:fldCharType="end"/>
        </w:r>
      </w:hyperlink>
    </w:p>
    <w:p w14:paraId="77443F42" w14:textId="29AD295B" w:rsidR="003A5178" w:rsidRPr="00FB4797" w:rsidRDefault="62C29527" w:rsidP="3C234025">
      <w:pPr>
        <w:pStyle w:val="TDC1"/>
        <w:tabs>
          <w:tab w:val="left" w:pos="435"/>
          <w:tab w:val="right" w:leader="dot" w:pos="9735"/>
        </w:tabs>
        <w:rPr>
          <w:noProof/>
          <w:lang w:val="es-MX" w:eastAsia="es-MX"/>
        </w:rPr>
      </w:pPr>
      <w:r>
        <w:fldChar w:fldCharType="end"/>
      </w:r>
    </w:p>
    <w:p w14:paraId="5E04B274" w14:textId="628127D2" w:rsidR="247E9FEA" w:rsidRPr="00101989" w:rsidRDefault="247E9FEA" w:rsidP="62C29527">
      <w:pPr>
        <w:pStyle w:val="TDC1"/>
        <w:tabs>
          <w:tab w:val="left" w:pos="435"/>
          <w:tab w:val="right" w:leader="dot" w:pos="9735"/>
        </w:tabs>
        <w:spacing w:after="0"/>
        <w:rPr>
          <w:rFonts w:asciiTheme="minorHAnsi" w:hAnsiTheme="minorHAnsi" w:cstheme="minorBidi"/>
          <w:sz w:val="20"/>
          <w:szCs w:val="20"/>
        </w:rPr>
      </w:pPr>
    </w:p>
    <w:p w14:paraId="79421EA9" w14:textId="7E643FC8" w:rsidR="00D901A3" w:rsidRPr="00703512" w:rsidRDefault="00D901A3" w:rsidP="0061344D">
      <w:pPr>
        <w:rPr>
          <w:rFonts w:asciiTheme="minorHAnsi" w:eastAsiaTheme="minorEastAsia" w:hAnsiTheme="minorHAnsi" w:cstheme="minorHAnsi"/>
          <w:sz w:val="20"/>
          <w:szCs w:val="20"/>
        </w:rPr>
      </w:pPr>
      <w:r>
        <w:rPr>
          <w:rFonts w:asciiTheme="minorHAnsi" w:eastAsiaTheme="minorEastAsia" w:hAnsiTheme="minorHAnsi" w:cstheme="minorHAnsi"/>
          <w:sz w:val="20"/>
          <w:szCs w:val="20"/>
        </w:rPr>
        <w:br w:type="page"/>
      </w:r>
    </w:p>
    <w:p w14:paraId="353BB7D2" w14:textId="19193430" w:rsidR="00CE06FD" w:rsidRPr="00101989" w:rsidRDefault="4F7E3E44" w:rsidP="3C234025">
      <w:pPr>
        <w:pStyle w:val="Ttulo1"/>
        <w:rPr>
          <w:rFonts w:cstheme="minorBidi"/>
        </w:rPr>
      </w:pPr>
      <w:bookmarkStart w:id="0" w:name="_Toc4720309"/>
      <w:r w:rsidRPr="6F1EDA97">
        <w:rPr>
          <w:rFonts w:cstheme="minorBidi"/>
        </w:rPr>
        <w:lastRenderedPageBreak/>
        <w:t>DISEÑO DE LABORATORIO</w:t>
      </w:r>
      <w:r w:rsidR="5DF2AF90" w:rsidRPr="6F1EDA97">
        <w:rPr>
          <w:rFonts w:cstheme="minorBidi"/>
        </w:rPr>
        <w:t>S</w:t>
      </w:r>
      <w:bookmarkEnd w:id="0"/>
    </w:p>
    <w:p w14:paraId="1B557774" w14:textId="17FD7FDD" w:rsidR="6A619CCF" w:rsidRPr="00DC3C53" w:rsidRDefault="6A619CCF" w:rsidP="0061344D">
      <w:pPr>
        <w:rPr>
          <w:rFonts w:asciiTheme="minorHAnsi" w:hAnsiTheme="minorHAnsi" w:cstheme="minorHAnsi"/>
          <w:sz w:val="20"/>
          <w:szCs w:val="20"/>
        </w:rPr>
      </w:pPr>
    </w:p>
    <w:p w14:paraId="76F805EA" w14:textId="075D9280" w:rsidR="1B7859B1" w:rsidRPr="00101989" w:rsidRDefault="1B7859B1" w:rsidP="3C234025">
      <w:pPr>
        <w:spacing w:line="259" w:lineRule="auto"/>
        <w:rPr>
          <w:rFonts w:asciiTheme="minorHAnsi" w:eastAsiaTheme="minorEastAsia" w:hAnsiTheme="minorHAnsi" w:cstheme="minorBidi"/>
          <w:sz w:val="20"/>
          <w:szCs w:val="20"/>
          <w:lang w:val="es-CO"/>
        </w:rPr>
      </w:pPr>
      <w:r w:rsidRPr="3C234025">
        <w:rPr>
          <w:rFonts w:asciiTheme="minorHAnsi" w:eastAsiaTheme="minorEastAsia" w:hAnsiTheme="minorHAnsi" w:cstheme="minorBidi"/>
          <w:sz w:val="20"/>
          <w:szCs w:val="20"/>
          <w:lang w:val="es-CO"/>
        </w:rPr>
        <w:t>L</w:t>
      </w:r>
      <w:r w:rsidR="4737CF21" w:rsidRPr="3C234025">
        <w:rPr>
          <w:rFonts w:asciiTheme="minorHAnsi" w:eastAsiaTheme="minorEastAsia" w:hAnsiTheme="minorHAnsi" w:cstheme="minorBidi"/>
          <w:sz w:val="20"/>
          <w:szCs w:val="20"/>
          <w:lang w:val="es-CO"/>
        </w:rPr>
        <w:t>os laboratorios</w:t>
      </w:r>
      <w:r w:rsidRPr="3C234025">
        <w:rPr>
          <w:rFonts w:asciiTheme="minorHAnsi" w:eastAsiaTheme="minorEastAsia" w:hAnsiTheme="minorHAnsi" w:cstheme="minorBidi"/>
          <w:sz w:val="20"/>
          <w:szCs w:val="20"/>
          <w:lang w:val="es-CO"/>
        </w:rPr>
        <w:t xml:space="preserve"> plantead</w:t>
      </w:r>
      <w:r w:rsidR="319F88EE" w:rsidRPr="3C234025">
        <w:rPr>
          <w:rFonts w:asciiTheme="minorHAnsi" w:eastAsiaTheme="minorEastAsia" w:hAnsiTheme="minorHAnsi" w:cstheme="minorBidi"/>
          <w:sz w:val="20"/>
          <w:szCs w:val="20"/>
          <w:lang w:val="es-CO"/>
        </w:rPr>
        <w:t>os</w:t>
      </w:r>
      <w:r w:rsidRPr="3C234025">
        <w:rPr>
          <w:rFonts w:asciiTheme="minorHAnsi" w:eastAsiaTheme="minorEastAsia" w:hAnsiTheme="minorHAnsi" w:cstheme="minorBidi"/>
          <w:sz w:val="20"/>
          <w:szCs w:val="20"/>
          <w:lang w:val="es-CO"/>
        </w:rPr>
        <w:t xml:space="preserve"> con</w:t>
      </w:r>
      <w:r w:rsidR="0D4679D5" w:rsidRPr="3C234025">
        <w:rPr>
          <w:rFonts w:asciiTheme="minorHAnsi" w:eastAsiaTheme="minorEastAsia" w:hAnsiTheme="minorHAnsi" w:cstheme="minorBidi"/>
          <w:sz w:val="20"/>
          <w:szCs w:val="20"/>
          <w:lang w:val="es-CO"/>
        </w:rPr>
        <w:t>templan un</w:t>
      </w:r>
      <w:r w:rsidRPr="3C234025">
        <w:rPr>
          <w:rFonts w:asciiTheme="minorHAnsi" w:eastAsiaTheme="minorEastAsia" w:hAnsiTheme="minorHAnsi" w:cstheme="minorBidi"/>
          <w:sz w:val="20"/>
          <w:szCs w:val="20"/>
          <w:lang w:val="es-CO"/>
        </w:rPr>
        <w:t xml:space="preserve"> conjunto </w:t>
      </w:r>
      <w:r w:rsidR="2196D340" w:rsidRPr="3C234025">
        <w:rPr>
          <w:rFonts w:asciiTheme="minorHAnsi" w:eastAsiaTheme="minorEastAsia" w:hAnsiTheme="minorHAnsi" w:cstheme="minorBidi"/>
          <w:sz w:val="20"/>
          <w:szCs w:val="20"/>
          <w:lang w:val="es-CO"/>
        </w:rPr>
        <w:t xml:space="preserve">de equipos para </w:t>
      </w:r>
      <w:r w:rsidR="2CD40992" w:rsidRPr="3C234025">
        <w:rPr>
          <w:rFonts w:asciiTheme="minorHAnsi" w:eastAsiaTheme="minorEastAsia" w:hAnsiTheme="minorHAnsi" w:cstheme="minorBidi"/>
          <w:sz w:val="20"/>
          <w:szCs w:val="20"/>
          <w:lang w:val="es-CO"/>
        </w:rPr>
        <w:t>la capacitación en energía solar, eólica</w:t>
      </w:r>
      <w:r w:rsidR="7464868C" w:rsidRPr="3C234025">
        <w:rPr>
          <w:rFonts w:asciiTheme="minorHAnsi" w:eastAsiaTheme="minorEastAsia" w:hAnsiTheme="minorHAnsi" w:cstheme="minorBidi"/>
          <w:sz w:val="20"/>
          <w:szCs w:val="20"/>
          <w:lang w:val="es-CO"/>
        </w:rPr>
        <w:t>, biomasa</w:t>
      </w:r>
      <w:r w:rsidR="2CD40992" w:rsidRPr="3C234025">
        <w:rPr>
          <w:rFonts w:asciiTheme="minorHAnsi" w:eastAsiaTheme="minorEastAsia" w:hAnsiTheme="minorHAnsi" w:cstheme="minorBidi"/>
          <w:sz w:val="20"/>
          <w:szCs w:val="20"/>
          <w:lang w:val="es-CO"/>
        </w:rPr>
        <w:t>, PCH y movilidad eléctrica</w:t>
      </w:r>
      <w:r w:rsidRPr="3C234025">
        <w:rPr>
          <w:rFonts w:asciiTheme="minorHAnsi" w:eastAsiaTheme="minorEastAsia" w:hAnsiTheme="minorHAnsi" w:cstheme="minorBidi"/>
          <w:sz w:val="20"/>
          <w:szCs w:val="20"/>
          <w:lang w:val="es-CO"/>
        </w:rPr>
        <w:t>, a continuación, se presentan las características</w:t>
      </w:r>
      <w:r w:rsidR="6BBD2ECC" w:rsidRPr="3C234025">
        <w:rPr>
          <w:rFonts w:asciiTheme="minorHAnsi" w:eastAsiaTheme="minorEastAsia" w:hAnsiTheme="minorHAnsi" w:cstheme="minorBidi"/>
          <w:sz w:val="20"/>
          <w:szCs w:val="20"/>
          <w:lang w:val="es-CO"/>
        </w:rPr>
        <w:t xml:space="preserve"> de cada laboratorio</w:t>
      </w:r>
      <w:r w:rsidRPr="3C234025">
        <w:rPr>
          <w:rFonts w:asciiTheme="minorHAnsi" w:eastAsiaTheme="minorEastAsia" w:hAnsiTheme="minorHAnsi" w:cstheme="minorBidi"/>
          <w:sz w:val="20"/>
          <w:szCs w:val="20"/>
          <w:lang w:val="es-CO"/>
        </w:rPr>
        <w:t>:</w:t>
      </w:r>
    </w:p>
    <w:p w14:paraId="7237A486" w14:textId="1F0B85F0" w:rsidR="6A619CCF" w:rsidRPr="00101989" w:rsidRDefault="6A619CCF" w:rsidP="0027093A">
      <w:pPr>
        <w:jc w:val="both"/>
        <w:rPr>
          <w:rFonts w:asciiTheme="minorHAnsi" w:eastAsiaTheme="minorEastAsia" w:hAnsiTheme="minorHAnsi" w:cstheme="minorHAnsi"/>
          <w:sz w:val="20"/>
          <w:szCs w:val="20"/>
        </w:rPr>
      </w:pPr>
    </w:p>
    <w:p w14:paraId="0E430045" w14:textId="4EA070DD" w:rsidR="1B7859B1" w:rsidRPr="00101989" w:rsidRDefault="176B592F" w:rsidP="4FD9DD9D">
      <w:pPr>
        <w:jc w:val="both"/>
        <w:rPr>
          <w:rFonts w:asciiTheme="minorHAnsi" w:eastAsiaTheme="minorEastAsia" w:hAnsiTheme="minorHAnsi" w:cstheme="minorBidi"/>
          <w:b/>
          <w:bCs/>
          <w:sz w:val="20"/>
          <w:szCs w:val="20"/>
        </w:rPr>
      </w:pPr>
      <w:r w:rsidRPr="3255A9B4">
        <w:rPr>
          <w:rFonts w:asciiTheme="minorHAnsi" w:eastAsiaTheme="minorEastAsia" w:hAnsiTheme="minorHAnsi" w:cstheme="minorBidi"/>
          <w:b/>
          <w:bCs/>
          <w:sz w:val="20"/>
          <w:szCs w:val="20"/>
          <w:lang w:val="es-CO"/>
        </w:rPr>
        <w:t xml:space="preserve">Laboratorio </w:t>
      </w:r>
      <w:r w:rsidR="777D662D" w:rsidRPr="3255A9B4">
        <w:rPr>
          <w:rFonts w:asciiTheme="minorHAnsi" w:eastAsiaTheme="minorEastAsia" w:hAnsiTheme="minorHAnsi" w:cstheme="minorBidi"/>
          <w:b/>
          <w:bCs/>
          <w:sz w:val="20"/>
          <w:szCs w:val="20"/>
          <w:lang w:val="es-CO"/>
        </w:rPr>
        <w:t>Movilidad Eléctrica</w:t>
      </w:r>
      <w:r w:rsidRPr="3255A9B4">
        <w:rPr>
          <w:rFonts w:asciiTheme="minorHAnsi" w:eastAsiaTheme="minorEastAsia" w:hAnsiTheme="minorHAnsi" w:cstheme="minorBidi"/>
          <w:b/>
          <w:bCs/>
          <w:sz w:val="20"/>
          <w:szCs w:val="20"/>
          <w:lang w:val="es-CO"/>
        </w:rPr>
        <w:t>:</w:t>
      </w:r>
    </w:p>
    <w:p w14:paraId="71957EEB" w14:textId="2AEBA267" w:rsidR="6A619CCF" w:rsidRPr="00101989" w:rsidRDefault="6A619CCF" w:rsidP="0027093A">
      <w:pPr>
        <w:jc w:val="both"/>
        <w:rPr>
          <w:rFonts w:asciiTheme="minorHAnsi" w:eastAsiaTheme="minorEastAsia" w:hAnsiTheme="minorHAnsi" w:cstheme="minorHAnsi"/>
          <w:sz w:val="20"/>
          <w:szCs w:val="20"/>
        </w:rPr>
      </w:pPr>
    </w:p>
    <w:p w14:paraId="6CA845B9" w14:textId="131DA2D0" w:rsidR="0F039FC1" w:rsidRPr="00101989" w:rsidRDefault="65D645E8" w:rsidP="3255A9B4">
      <w:pPr>
        <w:jc w:val="both"/>
        <w:rPr>
          <w:rFonts w:asciiTheme="minorHAnsi" w:eastAsiaTheme="minorEastAsia" w:hAnsiTheme="minorHAnsi" w:cstheme="minorBidi"/>
          <w:sz w:val="20"/>
          <w:szCs w:val="20"/>
          <w:lang w:val="es-CO"/>
        </w:rPr>
      </w:pPr>
      <w:r w:rsidRPr="3255A9B4">
        <w:rPr>
          <w:rFonts w:asciiTheme="minorHAnsi" w:eastAsiaTheme="minorEastAsia" w:hAnsiTheme="minorHAnsi" w:cstheme="minorBidi"/>
          <w:sz w:val="20"/>
          <w:szCs w:val="20"/>
          <w:lang w:val="es-CO"/>
        </w:rPr>
        <w:t>S</w:t>
      </w:r>
      <w:r w:rsidR="1B7859B1" w:rsidRPr="3255A9B4">
        <w:rPr>
          <w:rFonts w:asciiTheme="minorHAnsi" w:eastAsiaTheme="minorEastAsia" w:hAnsiTheme="minorHAnsi" w:cstheme="minorBidi"/>
          <w:sz w:val="20"/>
          <w:szCs w:val="20"/>
          <w:lang w:val="es-CO"/>
        </w:rPr>
        <w:t xml:space="preserve">e propone un </w:t>
      </w:r>
      <w:r w:rsidR="3E848AC5" w:rsidRPr="3255A9B4">
        <w:rPr>
          <w:rFonts w:asciiTheme="minorHAnsi" w:eastAsiaTheme="minorEastAsia" w:hAnsiTheme="minorHAnsi" w:cstheme="minorBidi"/>
          <w:sz w:val="20"/>
          <w:szCs w:val="20"/>
          <w:lang w:val="es-CO"/>
        </w:rPr>
        <w:t>laboratorio de movilidad eléctrica</w:t>
      </w:r>
      <w:r w:rsidR="1B7859B1" w:rsidRPr="3255A9B4">
        <w:rPr>
          <w:rFonts w:asciiTheme="minorHAnsi" w:eastAsiaTheme="minorEastAsia" w:hAnsiTheme="minorHAnsi" w:cstheme="minorBidi"/>
          <w:sz w:val="20"/>
          <w:szCs w:val="20"/>
          <w:lang w:val="es-CO"/>
        </w:rPr>
        <w:t xml:space="preserve"> con </w:t>
      </w:r>
      <w:r w:rsidR="2E2188FA" w:rsidRPr="3255A9B4">
        <w:rPr>
          <w:rFonts w:asciiTheme="minorHAnsi" w:eastAsiaTheme="minorEastAsia" w:hAnsiTheme="minorHAnsi" w:cstheme="minorBidi"/>
          <w:sz w:val="20"/>
          <w:szCs w:val="20"/>
          <w:lang w:val="es-CO"/>
        </w:rPr>
        <w:t xml:space="preserve">los siguientes equipos y </w:t>
      </w:r>
      <w:r w:rsidR="1B7859B1" w:rsidRPr="3255A9B4">
        <w:rPr>
          <w:rFonts w:asciiTheme="minorHAnsi" w:eastAsiaTheme="minorEastAsia" w:hAnsiTheme="minorHAnsi" w:cstheme="minorBidi"/>
          <w:sz w:val="20"/>
          <w:szCs w:val="20"/>
          <w:lang w:val="es-CO"/>
        </w:rPr>
        <w:t>características:</w:t>
      </w:r>
    </w:p>
    <w:p w14:paraId="5887B0A4" w14:textId="672B256F" w:rsidR="008012AE" w:rsidRPr="00101989" w:rsidRDefault="008012AE" w:rsidP="4FD9DD9D">
      <w:pPr>
        <w:rPr>
          <w:rFonts w:asciiTheme="minorHAnsi" w:eastAsiaTheme="minorEastAsia" w:hAnsiTheme="minorHAnsi" w:cstheme="minorBidi"/>
          <w:sz w:val="20"/>
          <w:szCs w:val="20"/>
          <w:lang w:val="es-CO"/>
        </w:rPr>
      </w:pPr>
    </w:p>
    <w:p w14:paraId="62146269" w14:textId="7AEC96DE" w:rsidR="4FD9DD9D" w:rsidRDefault="28239FEC" w:rsidP="3C234025">
      <w:pPr>
        <w:jc w:val="center"/>
        <w:rPr>
          <w:rFonts w:asciiTheme="minorHAnsi" w:eastAsiaTheme="minorEastAsia" w:hAnsiTheme="minorHAnsi" w:cstheme="minorBidi"/>
          <w:sz w:val="20"/>
          <w:szCs w:val="20"/>
          <w:lang w:val="es-CO"/>
        </w:rPr>
      </w:pPr>
      <w:r w:rsidRPr="3C234025">
        <w:rPr>
          <w:rFonts w:asciiTheme="minorHAnsi" w:eastAsiaTheme="minorEastAsia" w:hAnsiTheme="minorHAnsi" w:cstheme="minorBidi"/>
          <w:i/>
          <w:iCs/>
          <w:sz w:val="20"/>
          <w:szCs w:val="20"/>
          <w:lang w:val="es-CO"/>
        </w:rPr>
        <w:t xml:space="preserve">Tabla </w:t>
      </w:r>
      <w:r w:rsidRPr="3C234025">
        <w:rPr>
          <w:rFonts w:asciiTheme="minorHAnsi" w:eastAsiaTheme="minorEastAsia" w:hAnsiTheme="minorHAnsi" w:cstheme="minorBidi"/>
          <w:i/>
          <w:iCs/>
          <w:sz w:val="20"/>
          <w:szCs w:val="20"/>
          <w:lang w:val="es-CO"/>
        </w:rPr>
        <w:fldChar w:fldCharType="begin"/>
      </w:r>
      <w:r w:rsidRPr="3C234025">
        <w:rPr>
          <w:rFonts w:asciiTheme="minorHAnsi" w:eastAsiaTheme="minorEastAsia" w:hAnsiTheme="minorHAnsi" w:cstheme="minorBidi"/>
          <w:i/>
          <w:iCs/>
          <w:sz w:val="20"/>
          <w:szCs w:val="20"/>
          <w:lang w:val="es-CO"/>
        </w:rPr>
        <w:instrText xml:space="preserve"> SEQ Tabla \* ARABIC </w:instrText>
      </w:r>
      <w:r w:rsidRPr="3C234025">
        <w:rPr>
          <w:rFonts w:asciiTheme="minorHAnsi" w:eastAsiaTheme="minorEastAsia" w:hAnsiTheme="minorHAnsi" w:cstheme="minorBidi"/>
          <w:i/>
          <w:iCs/>
          <w:sz w:val="20"/>
          <w:szCs w:val="20"/>
          <w:lang w:val="es-CO"/>
        </w:rPr>
        <w:fldChar w:fldCharType="separate"/>
      </w:r>
      <w:r w:rsidR="10F220EB" w:rsidRPr="3C234025">
        <w:rPr>
          <w:rFonts w:asciiTheme="minorHAnsi" w:eastAsiaTheme="minorEastAsia" w:hAnsiTheme="minorHAnsi" w:cstheme="minorBidi"/>
          <w:i/>
          <w:iCs/>
          <w:sz w:val="20"/>
          <w:szCs w:val="20"/>
          <w:lang w:val="es-CO"/>
        </w:rPr>
        <w:t>1</w:t>
      </w:r>
      <w:r w:rsidRPr="3C234025">
        <w:rPr>
          <w:rFonts w:asciiTheme="minorHAnsi" w:eastAsiaTheme="minorEastAsia" w:hAnsiTheme="minorHAnsi" w:cstheme="minorBidi"/>
          <w:i/>
          <w:iCs/>
          <w:sz w:val="20"/>
          <w:szCs w:val="20"/>
          <w:lang w:val="es-CO"/>
        </w:rPr>
        <w:fldChar w:fldCharType="end"/>
      </w:r>
      <w:r w:rsidRPr="3C234025">
        <w:rPr>
          <w:rFonts w:asciiTheme="minorHAnsi" w:eastAsiaTheme="minorEastAsia" w:hAnsiTheme="minorHAnsi" w:cstheme="minorBidi"/>
          <w:i/>
          <w:iCs/>
          <w:sz w:val="20"/>
          <w:szCs w:val="20"/>
          <w:lang w:val="es-CO"/>
        </w:rPr>
        <w:t>.</w:t>
      </w:r>
      <w:r w:rsidRPr="3C234025">
        <w:rPr>
          <w:rFonts w:asciiTheme="minorHAnsi" w:eastAsiaTheme="minorEastAsia" w:hAnsiTheme="minorHAnsi" w:cstheme="minorBidi"/>
          <w:sz w:val="20"/>
          <w:szCs w:val="20"/>
          <w:lang w:val="es-CO"/>
        </w:rPr>
        <w:t xml:space="preserve"> Laboratorio </w:t>
      </w:r>
      <w:r w:rsidR="2BBB4380" w:rsidRPr="3C234025">
        <w:rPr>
          <w:rFonts w:asciiTheme="minorHAnsi" w:eastAsiaTheme="minorEastAsia" w:hAnsiTheme="minorHAnsi" w:cstheme="minorBidi"/>
          <w:sz w:val="20"/>
          <w:szCs w:val="20"/>
          <w:lang w:val="es-CO"/>
        </w:rPr>
        <w:t>Movilidad Eléctrica</w:t>
      </w:r>
    </w:p>
    <w:tbl>
      <w:tblPr>
        <w:tblStyle w:val="Tablaconcuadrcula"/>
        <w:tblW w:w="9750" w:type="dxa"/>
        <w:tblLook w:val="06A0" w:firstRow="1" w:lastRow="0" w:firstColumn="1" w:lastColumn="0" w:noHBand="1" w:noVBand="1"/>
      </w:tblPr>
      <w:tblGrid>
        <w:gridCol w:w="615"/>
        <w:gridCol w:w="5556"/>
        <w:gridCol w:w="3579"/>
      </w:tblGrid>
      <w:tr w:rsidR="59BD4447" w14:paraId="1E1B20C3" w14:textId="77777777" w:rsidTr="0BDA33FB">
        <w:trPr>
          <w:trHeight w:val="300"/>
        </w:trPr>
        <w:tc>
          <w:tcPr>
            <w:tcW w:w="615" w:type="dxa"/>
            <w:shd w:val="clear" w:color="auto" w:fill="002060"/>
          </w:tcPr>
          <w:p w14:paraId="3D73D4B5" w14:textId="1F64419F" w:rsidR="1569E5B3" w:rsidRDefault="1569E5B3" w:rsidP="62C29527">
            <w:pPr>
              <w:jc w:val="center"/>
              <w:rPr>
                <w:rFonts w:asciiTheme="minorHAnsi" w:eastAsiaTheme="minorEastAsia" w:hAnsiTheme="minorHAnsi" w:cstheme="minorBidi"/>
                <w:b/>
                <w:bCs/>
                <w:color w:val="FFFFFF" w:themeColor="background1"/>
                <w:sz w:val="20"/>
                <w:szCs w:val="20"/>
              </w:rPr>
            </w:pPr>
            <w:r w:rsidRPr="62C29527">
              <w:rPr>
                <w:rFonts w:asciiTheme="minorHAnsi" w:eastAsiaTheme="minorEastAsia" w:hAnsiTheme="minorHAnsi" w:cstheme="minorBidi"/>
                <w:b/>
                <w:bCs/>
                <w:color w:val="FFFFFF" w:themeColor="background1"/>
                <w:sz w:val="20"/>
                <w:szCs w:val="20"/>
              </w:rPr>
              <w:t>Ítem</w:t>
            </w:r>
          </w:p>
        </w:tc>
        <w:tc>
          <w:tcPr>
            <w:tcW w:w="9135" w:type="dxa"/>
            <w:gridSpan w:val="2"/>
            <w:shd w:val="clear" w:color="auto" w:fill="002060"/>
          </w:tcPr>
          <w:p w14:paraId="6ED09AF2" w14:textId="21A9B233" w:rsidR="59BD4447" w:rsidRDefault="59BD4447" w:rsidP="59BD4447">
            <w:pPr>
              <w:jc w:val="center"/>
              <w:rPr>
                <w:rFonts w:asciiTheme="minorHAnsi" w:eastAsiaTheme="minorEastAsia" w:hAnsiTheme="minorHAnsi" w:cstheme="minorBidi"/>
                <w:b/>
                <w:bCs/>
                <w:color w:val="FFFFFF" w:themeColor="background1"/>
                <w:sz w:val="20"/>
                <w:szCs w:val="20"/>
              </w:rPr>
            </w:pPr>
            <w:r>
              <w:rPr>
                <w:rFonts w:asciiTheme="minorHAnsi" w:eastAsiaTheme="minorEastAsia" w:hAnsiTheme="minorHAnsi" w:cstheme="minorBidi"/>
                <w:b/>
                <w:bCs/>
                <w:color w:val="FFFFFF" w:themeColor="background1"/>
                <w:sz w:val="20"/>
                <w:szCs w:val="20"/>
              </w:rPr>
              <w:t>Laboratorio de Movilidad Eléctrica</w:t>
            </w:r>
          </w:p>
        </w:tc>
      </w:tr>
      <w:tr w:rsidR="59BD4447" w14:paraId="39790187" w14:textId="77777777" w:rsidTr="0BDA33FB">
        <w:trPr>
          <w:trHeight w:val="300"/>
        </w:trPr>
        <w:tc>
          <w:tcPr>
            <w:tcW w:w="615" w:type="dxa"/>
          </w:tcPr>
          <w:p w14:paraId="682AD690" w14:textId="361E3964" w:rsidR="724E1D56" w:rsidRDefault="724E1D56" w:rsidP="62C29527">
            <w:r>
              <w:t>1</w:t>
            </w:r>
          </w:p>
        </w:tc>
        <w:tc>
          <w:tcPr>
            <w:tcW w:w="5550" w:type="dxa"/>
          </w:tcPr>
          <w:p w14:paraId="10A5DF43" w14:textId="13A967E0" w:rsidR="2A191056" w:rsidRDefault="2A191056" w:rsidP="59BD4447">
            <w:r>
              <w:rPr>
                <w:noProof/>
              </w:rPr>
              <w:drawing>
                <wp:inline distT="0" distB="0" distL="0" distR="0" wp14:anchorId="7F8CED11" wp14:editId="3786D818">
                  <wp:extent cx="2752725" cy="1885950"/>
                  <wp:effectExtent l="0" t="0" r="0" b="0"/>
                  <wp:docPr id="17814201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140735" name="Picture 1211140735"/>
                          <pic:cNvPicPr/>
                        </pic:nvPicPr>
                        <pic:blipFill>
                          <a:blip r:embed="rId13">
                            <a:extLst>
                              <a:ext uri="{28A0092B-C50C-407E-A947-70E740481C1C}">
                                <a14:useLocalDpi xmlns:a14="http://schemas.microsoft.com/office/drawing/2010/main"/>
                              </a:ext>
                            </a:extLst>
                          </a:blip>
                          <a:stretch>
                            <a:fillRect/>
                          </a:stretch>
                        </pic:blipFill>
                        <pic:spPr>
                          <a:xfrm>
                            <a:off x="0" y="0"/>
                            <a:ext cx="2752725" cy="1885950"/>
                          </a:xfrm>
                          <a:prstGeom prst="rect">
                            <a:avLst/>
                          </a:prstGeom>
                        </pic:spPr>
                      </pic:pic>
                    </a:graphicData>
                  </a:graphic>
                </wp:inline>
              </w:drawing>
            </w:r>
          </w:p>
        </w:tc>
        <w:tc>
          <w:tcPr>
            <w:tcW w:w="3585" w:type="dxa"/>
          </w:tcPr>
          <w:p w14:paraId="719A654D" w14:textId="7849DED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64694B79" w14:textId="11C2343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Aplicación de Vehículos Híbridos y Eléctricos, Controlada desde Computador.</w:t>
            </w:r>
            <w:r w:rsidRPr="3C234025">
              <w:rPr>
                <w:rFonts w:asciiTheme="minorHAnsi" w:eastAsiaTheme="minorEastAsia" w:hAnsiTheme="minorHAnsi" w:cstheme="minorBidi"/>
                <w:sz w:val="20"/>
                <w:szCs w:val="20"/>
              </w:rPr>
              <w:t xml:space="preserve"> Permitir el aprendizaje práctico del funcionamiento de trenes de potencia híbridos y eléctricos mediante simulación y control digital. </w:t>
            </w:r>
          </w:p>
          <w:p w14:paraId="45E9F8B5" w14:textId="1E91DA96" w:rsidR="59BD4447" w:rsidRDefault="59BD4447" w:rsidP="3C234025">
            <w:pPr>
              <w:jc w:val="both"/>
              <w:rPr>
                <w:rFonts w:asciiTheme="minorHAnsi" w:eastAsiaTheme="minorEastAsia" w:hAnsiTheme="minorHAnsi" w:cstheme="minorBidi"/>
                <w:b/>
                <w:bCs/>
                <w:sz w:val="20"/>
                <w:szCs w:val="20"/>
              </w:rPr>
            </w:pPr>
          </w:p>
          <w:p w14:paraId="1B7C0BF4" w14:textId="280604FB"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068089D9" w14:textId="70F4974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Plataforma didáctica de movilidad eléctrica con control desde computador, monitoreo de variables eléctricas y análisis de flujo de energía. El sistema debe contar con plataforma de control desde computador con sistema SCADA para control y adquisición de datos en tiempo real, software de supervisión basado en entorno gráfico (tipo LabVIEW o equivalente), capacidad de registro y visualización de variables del proceso, simulación de aceleración y deceleración, análisis de flujos de potencia y monitoreo de procesos de carga y descarga de la batería simulada. Debe permitir control abierto, multicontrol y control en tiempo real, registro automático de datos y visualización simultánea para múltiples estudiantes mediante proyector o pantalla electrónica.</w:t>
            </w:r>
          </w:p>
        </w:tc>
      </w:tr>
      <w:tr w:rsidR="59BD4447" w14:paraId="4875179C" w14:textId="77777777" w:rsidTr="0BDA33FB">
        <w:trPr>
          <w:trHeight w:val="300"/>
        </w:trPr>
        <w:tc>
          <w:tcPr>
            <w:tcW w:w="615" w:type="dxa"/>
          </w:tcPr>
          <w:p w14:paraId="03C6E12A" w14:textId="1F4226DC" w:rsidR="4A98EE57" w:rsidRDefault="4A98EE57" w:rsidP="62C29527">
            <w:r>
              <w:t>2</w:t>
            </w:r>
          </w:p>
        </w:tc>
        <w:tc>
          <w:tcPr>
            <w:tcW w:w="5550" w:type="dxa"/>
          </w:tcPr>
          <w:p w14:paraId="55D524A5" w14:textId="2A0960B0" w:rsidR="59BD4447" w:rsidRDefault="6394FBFE" w:rsidP="68D41FDE">
            <w:r>
              <w:rPr>
                <w:noProof/>
              </w:rPr>
              <w:drawing>
                <wp:inline distT="0" distB="0" distL="0" distR="0" wp14:anchorId="78AA3F07" wp14:editId="1FA37831">
                  <wp:extent cx="2952750" cy="1447800"/>
                  <wp:effectExtent l="0" t="0" r="0" b="0"/>
                  <wp:docPr id="1203142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14240" name="Picture 120314240"/>
                          <pic:cNvPicPr/>
                        </pic:nvPicPr>
                        <pic:blipFill>
                          <a:blip r:embed="rId14">
                            <a:extLst>
                              <a:ext uri="{28A0092B-C50C-407E-A947-70E740481C1C}">
                                <a14:useLocalDpi xmlns:a14="http://schemas.microsoft.com/office/drawing/2010/main"/>
                              </a:ext>
                            </a:extLst>
                          </a:blip>
                          <a:stretch>
                            <a:fillRect/>
                          </a:stretch>
                        </pic:blipFill>
                        <pic:spPr>
                          <a:xfrm>
                            <a:off x="0" y="0"/>
                            <a:ext cx="2952750" cy="1447800"/>
                          </a:xfrm>
                          <a:prstGeom prst="rect">
                            <a:avLst/>
                          </a:prstGeom>
                        </pic:spPr>
                      </pic:pic>
                    </a:graphicData>
                  </a:graphic>
                </wp:inline>
              </w:drawing>
            </w:r>
          </w:p>
        </w:tc>
        <w:tc>
          <w:tcPr>
            <w:tcW w:w="3585" w:type="dxa"/>
          </w:tcPr>
          <w:p w14:paraId="7C521F2A" w14:textId="30C0C29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24EACB75" w14:textId="5F487EA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Simulación de Vehículos Híbridos, Controlado desde Computador.</w:t>
            </w:r>
          </w:p>
          <w:p w14:paraId="3EC6CF29" w14:textId="22154FF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análisis del comportamiento dinámico de sistemas híbridos de propulsión. </w:t>
            </w:r>
          </w:p>
          <w:p w14:paraId="37852BB8" w14:textId="07B773F3" w:rsidR="59BD4447" w:rsidRDefault="59BD4447" w:rsidP="3C234025">
            <w:pPr>
              <w:jc w:val="both"/>
              <w:rPr>
                <w:rFonts w:asciiTheme="minorHAnsi" w:eastAsiaTheme="minorEastAsia" w:hAnsiTheme="minorHAnsi" w:cstheme="minorBidi"/>
                <w:b/>
                <w:bCs/>
                <w:sz w:val="20"/>
                <w:szCs w:val="20"/>
              </w:rPr>
            </w:pPr>
          </w:p>
          <w:p w14:paraId="05DC4994" w14:textId="18D4ADA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4E9FAFB8" w14:textId="1C478E3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de simulación de tren motriz híbrido con monitoreo de variables energéticas y control desde PC. Debe incluir motor eléctrico de inducción trifásico tipo jaula de ardilla con potencia nominal aproximada de 370 W, voltaje nominal 3 × 230/400 VAC (Δ/Y), frecuencia de operación 50/60 Hz, velocidad aproximada de 2730 rpm y dos polos. Debe integrar módulo de tren de transmisión regenerativo con controlador de frecuencia para control de velocidad y par, interruptor ON/OFF y llave de seguridad de arranque/parada.</w:t>
            </w:r>
          </w:p>
        </w:tc>
      </w:tr>
      <w:tr w:rsidR="59BD4447" w14:paraId="7142DDD5" w14:textId="77777777" w:rsidTr="0BDA33FB">
        <w:trPr>
          <w:trHeight w:val="300"/>
        </w:trPr>
        <w:tc>
          <w:tcPr>
            <w:tcW w:w="615" w:type="dxa"/>
          </w:tcPr>
          <w:p w14:paraId="4080EDAE" w14:textId="6D696198" w:rsidR="57F26EE1" w:rsidRDefault="57F26EE1" w:rsidP="62C29527">
            <w:pPr>
              <w:jc w:val="center"/>
            </w:pPr>
            <w:r>
              <w:t>3</w:t>
            </w:r>
          </w:p>
        </w:tc>
        <w:tc>
          <w:tcPr>
            <w:tcW w:w="5550" w:type="dxa"/>
          </w:tcPr>
          <w:p w14:paraId="1F620854" w14:textId="399ED16F" w:rsidR="59BD4447" w:rsidRDefault="59BD4447" w:rsidP="68D41FDE">
            <w:pPr>
              <w:jc w:val="center"/>
            </w:pPr>
            <w:r>
              <w:rPr>
                <w:noProof/>
              </w:rPr>
              <w:drawing>
                <wp:inline distT="0" distB="0" distL="0" distR="0" wp14:anchorId="7DBB4E90" wp14:editId="07ECB5FA">
                  <wp:extent cx="2333951" cy="2495898"/>
                  <wp:effectExtent l="0" t="0" r="0" b="0"/>
                  <wp:docPr id="8820220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022094" name="Picture 882022094"/>
                          <pic:cNvPicPr/>
                        </pic:nvPicPr>
                        <pic:blipFill>
                          <a:blip r:embed="rId15">
                            <a:extLst>
                              <a:ext uri="{28A0092B-C50C-407E-A947-70E740481C1C}">
                                <a14:useLocalDpi xmlns:a14="http://schemas.microsoft.com/office/drawing/2010/main"/>
                              </a:ext>
                            </a:extLst>
                          </a:blip>
                          <a:stretch>
                            <a:fillRect/>
                          </a:stretch>
                        </pic:blipFill>
                        <pic:spPr>
                          <a:xfrm>
                            <a:off x="0" y="0"/>
                            <a:ext cx="2333951" cy="2495898"/>
                          </a:xfrm>
                          <a:prstGeom prst="rect">
                            <a:avLst/>
                          </a:prstGeom>
                        </pic:spPr>
                      </pic:pic>
                    </a:graphicData>
                  </a:graphic>
                </wp:inline>
              </w:drawing>
            </w:r>
          </w:p>
        </w:tc>
        <w:tc>
          <w:tcPr>
            <w:tcW w:w="3585" w:type="dxa"/>
          </w:tcPr>
          <w:p w14:paraId="4C54D6B6" w14:textId="111D57A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620425DA" w14:textId="0DCE660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Módulo de Simulación de Motor de Gasolina.</w:t>
            </w:r>
            <w:r w:rsidRPr="3C234025">
              <w:rPr>
                <w:rFonts w:asciiTheme="minorHAnsi" w:eastAsiaTheme="minorEastAsia" w:hAnsiTheme="minorHAnsi" w:cstheme="minorBidi"/>
                <w:sz w:val="20"/>
                <w:szCs w:val="20"/>
              </w:rPr>
              <w:t xml:space="preserve"> </w:t>
            </w:r>
          </w:p>
          <w:p w14:paraId="0EC3CE7E" w14:textId="32CB193B"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la comprensión del funcionamiento de motores de combustión para comparación con sistemas eléctricos. </w:t>
            </w:r>
          </w:p>
          <w:p w14:paraId="4220E096" w14:textId="5F4E576A" w:rsidR="59BD4447" w:rsidRDefault="59BD4447" w:rsidP="3C234025">
            <w:pPr>
              <w:jc w:val="both"/>
              <w:rPr>
                <w:rFonts w:asciiTheme="minorHAnsi" w:eastAsiaTheme="minorEastAsia" w:hAnsiTheme="minorHAnsi" w:cstheme="minorBidi"/>
                <w:b/>
                <w:bCs/>
                <w:sz w:val="20"/>
                <w:szCs w:val="20"/>
              </w:rPr>
            </w:pPr>
          </w:p>
          <w:p w14:paraId="712F747E" w14:textId="5ADAD7A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532D8B9C" w14:textId="6995344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Módulo didáctico para simulación de motor de combustión interna con monitoreo de parámetros de operación. Debe incorporar módulo de simulación con tensión de alimentación aproximada de 230 VAC, servomotor con driver para simulación de régimen dinámico y estático, control de velocidad y par, potencia nominal aproximada de 1 kW, potencia máxima aproximada de 3 kW, par nominal cercano a 3,18 Nm y par máximo cercano a 9,55 Nm, con control de temperatura y embrague magnético para simulación de acople.</w:t>
            </w:r>
          </w:p>
        </w:tc>
      </w:tr>
      <w:tr w:rsidR="59BD4447" w14:paraId="2351DDF1" w14:textId="77777777" w:rsidTr="0BDA33FB">
        <w:trPr>
          <w:trHeight w:val="300"/>
        </w:trPr>
        <w:tc>
          <w:tcPr>
            <w:tcW w:w="615" w:type="dxa"/>
          </w:tcPr>
          <w:p w14:paraId="65D5D383" w14:textId="1A89DC50" w:rsidR="0394FF3B" w:rsidRDefault="0394FF3B" w:rsidP="62C29527">
            <w:pPr>
              <w:jc w:val="center"/>
            </w:pPr>
            <w:r>
              <w:t>4</w:t>
            </w:r>
          </w:p>
        </w:tc>
        <w:tc>
          <w:tcPr>
            <w:tcW w:w="5550" w:type="dxa"/>
          </w:tcPr>
          <w:p w14:paraId="291ED5A7" w14:textId="598059B5" w:rsidR="59BD4447" w:rsidRDefault="59BD4447" w:rsidP="68D41FDE">
            <w:pPr>
              <w:jc w:val="center"/>
            </w:pPr>
            <w:r>
              <w:rPr>
                <w:noProof/>
              </w:rPr>
              <w:drawing>
                <wp:inline distT="0" distB="0" distL="0" distR="0" wp14:anchorId="535D14C5" wp14:editId="7AF4FC52">
                  <wp:extent cx="1124107" cy="2353003"/>
                  <wp:effectExtent l="0" t="0" r="0" b="0"/>
                  <wp:docPr id="17082462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246205" name="Picture 1708246205"/>
                          <pic:cNvPicPr/>
                        </pic:nvPicPr>
                        <pic:blipFill>
                          <a:blip r:embed="rId16">
                            <a:extLst>
                              <a:ext uri="{28A0092B-C50C-407E-A947-70E740481C1C}">
                                <a14:useLocalDpi xmlns:a14="http://schemas.microsoft.com/office/drawing/2010/main"/>
                              </a:ext>
                            </a:extLst>
                          </a:blip>
                          <a:stretch>
                            <a:fillRect/>
                          </a:stretch>
                        </pic:blipFill>
                        <pic:spPr>
                          <a:xfrm>
                            <a:off x="0" y="0"/>
                            <a:ext cx="1124107" cy="2353003"/>
                          </a:xfrm>
                          <a:prstGeom prst="rect">
                            <a:avLst/>
                          </a:prstGeom>
                        </pic:spPr>
                      </pic:pic>
                    </a:graphicData>
                  </a:graphic>
                </wp:inline>
              </w:drawing>
            </w:r>
          </w:p>
        </w:tc>
        <w:tc>
          <w:tcPr>
            <w:tcW w:w="3585" w:type="dxa"/>
          </w:tcPr>
          <w:p w14:paraId="78EA1657" w14:textId="274DD54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0859B000" w14:textId="0EEB6D5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Cargador de Vehículo Eléctrico.</w:t>
            </w:r>
            <w:r w:rsidRPr="3C234025">
              <w:rPr>
                <w:rFonts w:asciiTheme="minorHAnsi" w:eastAsiaTheme="minorEastAsia" w:hAnsiTheme="minorHAnsi" w:cstheme="minorBidi"/>
                <w:sz w:val="20"/>
                <w:szCs w:val="20"/>
              </w:rPr>
              <w:t xml:space="preserve"> </w:t>
            </w:r>
          </w:p>
          <w:p w14:paraId="277C4CC6" w14:textId="1A4D6F5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estudio del proceso de carga de vehículos eléctricos y su interacción con la red eléctrica. </w:t>
            </w:r>
          </w:p>
          <w:p w14:paraId="152CE294" w14:textId="560B313B" w:rsidR="59BD4447" w:rsidRDefault="59BD4447" w:rsidP="3C234025">
            <w:pPr>
              <w:jc w:val="both"/>
              <w:rPr>
                <w:rFonts w:asciiTheme="minorHAnsi" w:eastAsiaTheme="minorEastAsia" w:hAnsiTheme="minorHAnsi" w:cstheme="minorBidi"/>
                <w:b/>
                <w:bCs/>
                <w:sz w:val="20"/>
                <w:szCs w:val="20"/>
              </w:rPr>
            </w:pPr>
          </w:p>
          <w:p w14:paraId="68B3D432" w14:textId="1159B26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7CF87EDE" w14:textId="1257EF5C"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Estación de carga didáctica para vehículos eléctricos con medición de potencia, energía y corriente. Caja de recarga básica con envolvente de protección aproximada IP54, toma monofásica tipo Schuko 230 V, corriente nominal aproximada de 16 A y potencia aproximada de 3,6 kW. Debe incorporar medidor de energía monofásico (kWh).</w:t>
            </w:r>
          </w:p>
        </w:tc>
      </w:tr>
      <w:tr w:rsidR="59BD4447" w14:paraId="3B6C7D1B" w14:textId="77777777" w:rsidTr="0BDA33FB">
        <w:trPr>
          <w:trHeight w:val="300"/>
        </w:trPr>
        <w:tc>
          <w:tcPr>
            <w:tcW w:w="615" w:type="dxa"/>
          </w:tcPr>
          <w:p w14:paraId="20701606" w14:textId="1CAC9A5E" w:rsidR="6A05360B" w:rsidRDefault="6A05360B" w:rsidP="62C29527">
            <w:r>
              <w:t>5</w:t>
            </w:r>
          </w:p>
        </w:tc>
        <w:tc>
          <w:tcPr>
            <w:tcW w:w="5550" w:type="dxa"/>
          </w:tcPr>
          <w:p w14:paraId="2297ED64" w14:textId="60C89811" w:rsidR="59BD4447" w:rsidRDefault="59BD4447" w:rsidP="68D41FDE">
            <w:r>
              <w:rPr>
                <w:noProof/>
              </w:rPr>
              <w:drawing>
                <wp:inline distT="0" distB="0" distL="0" distR="0" wp14:anchorId="4D0F40BF" wp14:editId="7CAC794E">
                  <wp:extent cx="2952750" cy="1971675"/>
                  <wp:effectExtent l="0" t="0" r="0" b="0"/>
                  <wp:docPr id="4135657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65728" name="Picture 413565728"/>
                          <pic:cNvPicPr/>
                        </pic:nvPicPr>
                        <pic:blipFill>
                          <a:blip r:embed="rId17">
                            <a:extLst>
                              <a:ext uri="{28A0092B-C50C-407E-A947-70E740481C1C}">
                                <a14:useLocalDpi xmlns:a14="http://schemas.microsoft.com/office/drawing/2010/main"/>
                              </a:ext>
                            </a:extLst>
                          </a:blip>
                          <a:stretch>
                            <a:fillRect/>
                          </a:stretch>
                        </pic:blipFill>
                        <pic:spPr>
                          <a:xfrm>
                            <a:off x="0" y="0"/>
                            <a:ext cx="2952750" cy="1971675"/>
                          </a:xfrm>
                          <a:prstGeom prst="rect">
                            <a:avLst/>
                          </a:prstGeom>
                        </pic:spPr>
                      </pic:pic>
                    </a:graphicData>
                  </a:graphic>
                </wp:inline>
              </w:drawing>
            </w:r>
          </w:p>
        </w:tc>
        <w:tc>
          <w:tcPr>
            <w:tcW w:w="3585" w:type="dxa"/>
          </w:tcPr>
          <w:p w14:paraId="6697786D" w14:textId="1F8CE72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2A986837" w14:textId="55A2652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Circuitos Electrónicos Fundamentales en Automoción.</w:t>
            </w:r>
            <w:r w:rsidRPr="3C234025">
              <w:rPr>
                <w:rFonts w:asciiTheme="minorHAnsi" w:eastAsiaTheme="minorEastAsia" w:hAnsiTheme="minorHAnsi" w:cstheme="minorBidi"/>
                <w:sz w:val="20"/>
                <w:szCs w:val="20"/>
              </w:rPr>
              <w:t xml:space="preserve"> </w:t>
            </w:r>
          </w:p>
          <w:p w14:paraId="795EDE37" w14:textId="2764C4F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Permitir el aprendizaje de principios electrónicos aplicados a vehículos.</w:t>
            </w:r>
          </w:p>
          <w:p w14:paraId="765D669D" w14:textId="53914C97" w:rsidR="59BD4447" w:rsidRDefault="59BD4447" w:rsidP="3C234025">
            <w:pPr>
              <w:jc w:val="both"/>
              <w:rPr>
                <w:rFonts w:asciiTheme="minorHAnsi" w:eastAsiaTheme="minorEastAsia" w:hAnsiTheme="minorHAnsi" w:cstheme="minorBidi"/>
                <w:sz w:val="20"/>
                <w:szCs w:val="20"/>
              </w:rPr>
            </w:pPr>
          </w:p>
          <w:p w14:paraId="552DB6C4" w14:textId="7CD7141F" w:rsidR="59BD4447" w:rsidRDefault="7E5FBC9C" w:rsidP="3C234025">
            <w:pPr>
              <w:jc w:val="both"/>
              <w:rPr>
                <w:rFonts w:asciiTheme="minorHAnsi" w:eastAsiaTheme="minorEastAsia" w:hAnsiTheme="minorHAnsi" w:cstheme="minorBidi"/>
                <w:sz w:val="20"/>
                <w:szCs w:val="20"/>
              </w:rPr>
            </w:pPr>
            <w:r w:rsidRPr="6F1EDA97">
              <w:rPr>
                <w:rFonts w:asciiTheme="minorHAnsi" w:eastAsiaTheme="minorEastAsia" w:hAnsiTheme="minorHAnsi" w:cstheme="minorBidi"/>
                <w:b/>
                <w:bCs/>
                <w:sz w:val="20"/>
                <w:szCs w:val="20"/>
              </w:rPr>
              <w:t>Características técnicas de referencia</w:t>
            </w:r>
          </w:p>
          <w:p w14:paraId="581A2871" w14:textId="2603B0D9" w:rsidR="59BD4447" w:rsidRDefault="7E5FBC9C" w:rsidP="3C234025">
            <w:pPr>
              <w:jc w:val="both"/>
              <w:rPr>
                <w:rFonts w:asciiTheme="minorHAnsi" w:eastAsiaTheme="minorEastAsia" w:hAnsiTheme="minorHAnsi" w:cstheme="minorBidi"/>
                <w:sz w:val="20"/>
                <w:szCs w:val="20"/>
              </w:rPr>
            </w:pPr>
            <w:r w:rsidRPr="6F1EDA97">
              <w:rPr>
                <w:rFonts w:asciiTheme="minorHAnsi" w:eastAsiaTheme="minorEastAsia" w:hAnsiTheme="minorHAnsi" w:cstheme="minorBidi"/>
                <w:sz w:val="20"/>
                <w:szCs w:val="20"/>
              </w:rPr>
              <w:t>Módulo didáctico de circuitos electrónicos automotrices (tipo AV-EC o equivalente). Alimentación: 12 VDC. Incluye circuitos reales de automoción: fuente de alimentación CC del vehículo, control de intensidad lumínica de lámparas, control de velocidad de motor DC, generador de pulsos, circuito de chispa con ruptor y circuito de chispa electrónico. Todos los circuitos aislados entre sí para estudio independiente. Puntos de prueba accesibles mediante bornes estándar de 2 mm. Indicadores LED de estado por circuito. Protecciones integradas contra cortocircuito y sobretensión.</w:t>
            </w:r>
          </w:p>
        </w:tc>
      </w:tr>
      <w:tr w:rsidR="59BD4447" w14:paraId="5204AD7D" w14:textId="77777777" w:rsidTr="0BDA33FB">
        <w:trPr>
          <w:trHeight w:val="300"/>
        </w:trPr>
        <w:tc>
          <w:tcPr>
            <w:tcW w:w="615" w:type="dxa"/>
          </w:tcPr>
          <w:p w14:paraId="52383F09" w14:textId="006401FD" w:rsidR="6A05360B" w:rsidRDefault="6A05360B" w:rsidP="62C29527">
            <w:r>
              <w:t>6</w:t>
            </w:r>
          </w:p>
        </w:tc>
        <w:tc>
          <w:tcPr>
            <w:tcW w:w="5550" w:type="dxa"/>
          </w:tcPr>
          <w:p w14:paraId="7A2F8BD5" w14:textId="36743D66" w:rsidR="59BD4447" w:rsidRDefault="59BD4447" w:rsidP="68D41FDE">
            <w:r>
              <w:rPr>
                <w:noProof/>
              </w:rPr>
              <w:drawing>
                <wp:inline distT="0" distB="0" distL="0" distR="0" wp14:anchorId="490BFE16" wp14:editId="611BBCDA">
                  <wp:extent cx="2952750" cy="1905000"/>
                  <wp:effectExtent l="0" t="0" r="0" b="0"/>
                  <wp:docPr id="3541234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123495" name="Picture 354123495"/>
                          <pic:cNvPicPr/>
                        </pic:nvPicPr>
                        <pic:blipFill>
                          <a:blip r:embed="rId18">
                            <a:extLst>
                              <a:ext uri="{28A0092B-C50C-407E-A947-70E740481C1C}">
                                <a14:useLocalDpi xmlns:a14="http://schemas.microsoft.com/office/drawing/2010/main"/>
                              </a:ext>
                            </a:extLst>
                          </a:blip>
                          <a:stretch>
                            <a:fillRect/>
                          </a:stretch>
                        </pic:blipFill>
                        <pic:spPr>
                          <a:xfrm>
                            <a:off x="0" y="0"/>
                            <a:ext cx="2952750" cy="1905000"/>
                          </a:xfrm>
                          <a:prstGeom prst="rect">
                            <a:avLst/>
                          </a:prstGeom>
                        </pic:spPr>
                      </pic:pic>
                    </a:graphicData>
                  </a:graphic>
                </wp:inline>
              </w:drawing>
            </w:r>
          </w:p>
        </w:tc>
        <w:tc>
          <w:tcPr>
            <w:tcW w:w="3585" w:type="dxa"/>
          </w:tcPr>
          <w:p w14:paraId="43EFC91C" w14:textId="450A7BC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24FB4229" w14:textId="24DBB37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Circuitos Eléctricos Fundamentales en Automoción.</w:t>
            </w:r>
            <w:r w:rsidRPr="3C234025">
              <w:rPr>
                <w:rFonts w:asciiTheme="minorHAnsi" w:eastAsiaTheme="minorEastAsia" w:hAnsiTheme="minorHAnsi" w:cstheme="minorBidi"/>
                <w:sz w:val="20"/>
                <w:szCs w:val="20"/>
              </w:rPr>
              <w:t xml:space="preserve"> </w:t>
            </w:r>
          </w:p>
          <w:p w14:paraId="17261459" w14:textId="49A589A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Permitir el análisis de circuitos eléctricos básicos utilizados en vehículos.</w:t>
            </w:r>
          </w:p>
          <w:p w14:paraId="02A1FC78" w14:textId="22464F35" w:rsidR="59BD4447" w:rsidRDefault="59BD4447" w:rsidP="3C234025">
            <w:pPr>
              <w:jc w:val="both"/>
              <w:rPr>
                <w:rFonts w:asciiTheme="minorHAnsi" w:eastAsiaTheme="minorEastAsia" w:hAnsiTheme="minorHAnsi" w:cstheme="minorBidi"/>
                <w:sz w:val="20"/>
                <w:szCs w:val="20"/>
              </w:rPr>
            </w:pPr>
          </w:p>
          <w:p w14:paraId="2ADEBA12" w14:textId="768A9A78" w:rsidR="59BD4447" w:rsidRDefault="7E5FBC9C" w:rsidP="3C234025">
            <w:pPr>
              <w:jc w:val="both"/>
              <w:rPr>
                <w:rFonts w:asciiTheme="minorHAnsi" w:eastAsiaTheme="minorEastAsia" w:hAnsiTheme="minorHAnsi" w:cstheme="minorBidi"/>
                <w:sz w:val="20"/>
                <w:szCs w:val="20"/>
              </w:rPr>
            </w:pPr>
            <w:r w:rsidRPr="6F1EDA97">
              <w:rPr>
                <w:rFonts w:asciiTheme="minorHAnsi" w:eastAsiaTheme="minorEastAsia" w:hAnsiTheme="minorHAnsi" w:cstheme="minorBidi"/>
                <w:b/>
                <w:bCs/>
                <w:sz w:val="20"/>
                <w:szCs w:val="20"/>
              </w:rPr>
              <w:t>Características técnicas de referencia</w:t>
            </w:r>
          </w:p>
          <w:p w14:paraId="4BBFDE3B" w14:textId="008CB07D" w:rsidR="59BD4447" w:rsidRDefault="7E5FBC9C" w:rsidP="3C234025">
            <w:pPr>
              <w:jc w:val="both"/>
              <w:rPr>
                <w:rFonts w:asciiTheme="minorHAnsi" w:eastAsiaTheme="minorEastAsia" w:hAnsiTheme="minorHAnsi" w:cstheme="minorBidi"/>
                <w:sz w:val="20"/>
                <w:szCs w:val="20"/>
              </w:rPr>
            </w:pPr>
            <w:r w:rsidRPr="6F1EDA97">
              <w:rPr>
                <w:rFonts w:asciiTheme="minorHAnsi" w:eastAsiaTheme="minorEastAsia" w:hAnsiTheme="minorHAnsi" w:cstheme="minorBidi"/>
                <w:sz w:val="20"/>
                <w:szCs w:val="20"/>
              </w:rPr>
              <w:t>Módulo didáctico de circuitos eléctricos automotrices (tipo AV-EA o equivalente). Alimentación: 12-24 VDC. Incluye: circuito de batería y sistema de carga, circuito de iluminación delantera/trasera, circuito de bocina, circuito de elevalunas y cierre centralizado básico. Protecciones con fusibles de automoción (ATO) intercambiables. Panel de maniobras con interruptores, bornes de medición y conectores estándar automotrices. Permite simulación de averías mediante conmutadores de fallo.</w:t>
            </w:r>
          </w:p>
        </w:tc>
      </w:tr>
      <w:tr w:rsidR="59BD4447" w14:paraId="3BE5784D" w14:textId="77777777" w:rsidTr="0BDA33FB">
        <w:trPr>
          <w:trHeight w:val="300"/>
        </w:trPr>
        <w:tc>
          <w:tcPr>
            <w:tcW w:w="615" w:type="dxa"/>
          </w:tcPr>
          <w:p w14:paraId="6B24E19E" w14:textId="6B135DDF" w:rsidR="16598AE8" w:rsidRDefault="16598AE8" w:rsidP="62C29527">
            <w:r>
              <w:t>7</w:t>
            </w:r>
          </w:p>
        </w:tc>
        <w:tc>
          <w:tcPr>
            <w:tcW w:w="5550" w:type="dxa"/>
          </w:tcPr>
          <w:p w14:paraId="4A859F2A" w14:textId="55ADB30A" w:rsidR="59BD4447" w:rsidRDefault="59BD4447" w:rsidP="68D41FDE">
            <w:r>
              <w:rPr>
                <w:noProof/>
              </w:rPr>
              <w:drawing>
                <wp:inline distT="0" distB="0" distL="0" distR="0" wp14:anchorId="7E0B40C1" wp14:editId="59A5F017">
                  <wp:extent cx="2952750" cy="1247775"/>
                  <wp:effectExtent l="0" t="0" r="0" b="0"/>
                  <wp:docPr id="7964679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67934" name="Picture 796467934"/>
                          <pic:cNvPicPr/>
                        </pic:nvPicPr>
                        <pic:blipFill>
                          <a:blip r:embed="rId19">
                            <a:extLst>
                              <a:ext uri="{28A0092B-C50C-407E-A947-70E740481C1C}">
                                <a14:useLocalDpi xmlns:a14="http://schemas.microsoft.com/office/drawing/2010/main"/>
                              </a:ext>
                            </a:extLst>
                          </a:blip>
                          <a:stretch>
                            <a:fillRect/>
                          </a:stretch>
                        </pic:blipFill>
                        <pic:spPr>
                          <a:xfrm>
                            <a:off x="0" y="0"/>
                            <a:ext cx="2952750" cy="1247775"/>
                          </a:xfrm>
                          <a:prstGeom prst="rect">
                            <a:avLst/>
                          </a:prstGeom>
                        </pic:spPr>
                      </pic:pic>
                    </a:graphicData>
                  </a:graphic>
                </wp:inline>
              </w:drawing>
            </w:r>
          </w:p>
        </w:tc>
        <w:tc>
          <w:tcPr>
            <w:tcW w:w="3585" w:type="dxa"/>
          </w:tcPr>
          <w:p w14:paraId="641DA881" w14:textId="5EBFE86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p>
          <w:p w14:paraId="374BAC69" w14:textId="75B02FA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Sistema de Adquisición de Datos y de Instrumentación Virtual.</w:t>
            </w:r>
            <w:r w:rsidRPr="3C234025">
              <w:rPr>
                <w:rFonts w:asciiTheme="minorHAnsi" w:eastAsiaTheme="minorEastAsia" w:hAnsiTheme="minorHAnsi" w:cstheme="minorBidi"/>
                <w:sz w:val="20"/>
                <w:szCs w:val="20"/>
              </w:rPr>
              <w:t xml:space="preserve"> </w:t>
            </w:r>
          </w:p>
          <w:p w14:paraId="4719F770" w14:textId="1127969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Permitir la adquisición y análisis de datos de sistemas automotrices.</w:t>
            </w:r>
          </w:p>
          <w:p w14:paraId="611C83C7" w14:textId="3D47D7EE" w:rsidR="59BD4447" w:rsidRDefault="59BD4447" w:rsidP="3C234025">
            <w:pPr>
              <w:jc w:val="both"/>
              <w:rPr>
                <w:rFonts w:asciiTheme="minorHAnsi" w:eastAsiaTheme="minorEastAsia" w:hAnsiTheme="minorHAnsi" w:cstheme="minorBidi"/>
                <w:sz w:val="20"/>
                <w:szCs w:val="20"/>
              </w:rPr>
            </w:pPr>
          </w:p>
          <w:p w14:paraId="4D24F46D" w14:textId="3B81F3C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09A4AE13" w14:textId="6619FD8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Plataforma de adquisición de datos con software de instrumentación virtual para monitoreo de señales eléctricas. Debe integrarse con el sistema SCADA del laboratorio y permitir registro, almacenamiento, visualización y análisis comparativo de datos del proceso en tiempo real. Tarjeta de adquisición de datos: velocidad mínima 250 kS/s, resolución ≥12 bits, entradas analógicas ≥8 canales diferenciales, entradas/salidas digitales TTL ≥8 canales. Comunicación USB 2.0 o superior con PC. Software tipo LabVIEW o equivalente, compatible con Windows 10/11. Permite registro simultáneo de mínimo 8 variables con representación gráfica en tiempo real. Almacenamiento de datos en formato compatible con Microsoft Excel.</w:t>
            </w:r>
          </w:p>
        </w:tc>
      </w:tr>
      <w:tr w:rsidR="59BD4447" w14:paraId="4E60F737" w14:textId="77777777" w:rsidTr="0BDA33FB">
        <w:trPr>
          <w:trHeight w:val="300"/>
        </w:trPr>
        <w:tc>
          <w:tcPr>
            <w:tcW w:w="615" w:type="dxa"/>
          </w:tcPr>
          <w:p w14:paraId="6ECC6F26" w14:textId="44BCC61B" w:rsidR="16598AE8" w:rsidRDefault="16598AE8" w:rsidP="62C29527">
            <w:pPr>
              <w:jc w:val="center"/>
            </w:pPr>
            <w:r>
              <w:t>8</w:t>
            </w:r>
          </w:p>
        </w:tc>
        <w:tc>
          <w:tcPr>
            <w:tcW w:w="5550" w:type="dxa"/>
          </w:tcPr>
          <w:p w14:paraId="20BF7336" w14:textId="4DE371AE" w:rsidR="59BD4447" w:rsidRDefault="59BD4447" w:rsidP="68D41FDE">
            <w:pPr>
              <w:jc w:val="center"/>
            </w:pPr>
            <w:r>
              <w:rPr>
                <w:noProof/>
              </w:rPr>
              <w:drawing>
                <wp:inline distT="0" distB="0" distL="0" distR="0" wp14:anchorId="320AAB23" wp14:editId="11544876">
                  <wp:extent cx="2495550" cy="2952750"/>
                  <wp:effectExtent l="0" t="0" r="0" b="0"/>
                  <wp:docPr id="15103949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394990" name="Picture 1510394990"/>
                          <pic:cNvPicPr/>
                        </pic:nvPicPr>
                        <pic:blipFill>
                          <a:blip r:embed="rId20">
                            <a:extLst>
                              <a:ext uri="{28A0092B-C50C-407E-A947-70E740481C1C}">
                                <a14:useLocalDpi xmlns:a14="http://schemas.microsoft.com/office/drawing/2010/main"/>
                              </a:ext>
                            </a:extLst>
                          </a:blip>
                          <a:stretch>
                            <a:fillRect/>
                          </a:stretch>
                        </pic:blipFill>
                        <pic:spPr>
                          <a:xfrm>
                            <a:off x="0" y="0"/>
                            <a:ext cx="2495550" cy="2952750"/>
                          </a:xfrm>
                          <a:prstGeom prst="rect">
                            <a:avLst/>
                          </a:prstGeom>
                        </pic:spPr>
                      </pic:pic>
                    </a:graphicData>
                  </a:graphic>
                </wp:inline>
              </w:drawing>
            </w:r>
          </w:p>
        </w:tc>
        <w:tc>
          <w:tcPr>
            <w:tcW w:w="3585" w:type="dxa"/>
          </w:tcPr>
          <w:p w14:paraId="39160B5F" w14:textId="21EA2F1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p>
          <w:p w14:paraId="06377935" w14:textId="2A28917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Actuadores en Automoción.</w:t>
            </w:r>
            <w:r w:rsidRPr="3C234025">
              <w:rPr>
                <w:rFonts w:asciiTheme="minorHAnsi" w:eastAsiaTheme="minorEastAsia" w:hAnsiTheme="minorHAnsi" w:cstheme="minorBidi"/>
                <w:sz w:val="20"/>
                <w:szCs w:val="20"/>
              </w:rPr>
              <w:t xml:space="preserve"> Permitir el estudio del funcionamiento de actuadores eléctricos y electrónicos en vehículos. </w:t>
            </w:r>
          </w:p>
          <w:p w14:paraId="201A44D9" w14:textId="5F3E2E65" w:rsidR="59BD4447" w:rsidRDefault="59BD4447" w:rsidP="3C234025">
            <w:pPr>
              <w:jc w:val="both"/>
              <w:rPr>
                <w:rFonts w:asciiTheme="minorHAnsi" w:eastAsiaTheme="minorEastAsia" w:hAnsiTheme="minorHAnsi" w:cstheme="minorBidi"/>
                <w:b/>
                <w:bCs/>
                <w:sz w:val="20"/>
                <w:szCs w:val="20"/>
              </w:rPr>
            </w:pPr>
          </w:p>
          <w:p w14:paraId="3D297F6B" w14:textId="1F272E17" w:rsidR="59BD4447" w:rsidRDefault="7E5FBC9C" w:rsidP="3C234025">
            <w:pPr>
              <w:jc w:val="both"/>
              <w:rPr>
                <w:rFonts w:asciiTheme="minorHAnsi" w:eastAsiaTheme="minorEastAsia" w:hAnsiTheme="minorHAnsi" w:cstheme="minorBidi"/>
                <w:sz w:val="20"/>
                <w:szCs w:val="20"/>
              </w:rPr>
            </w:pPr>
            <w:r w:rsidRPr="6F1EDA97">
              <w:rPr>
                <w:rFonts w:asciiTheme="minorHAnsi" w:eastAsiaTheme="minorEastAsia" w:hAnsiTheme="minorHAnsi" w:cstheme="minorBidi"/>
                <w:b/>
                <w:bCs/>
                <w:sz w:val="20"/>
                <w:szCs w:val="20"/>
              </w:rPr>
              <w:t>Características técnicas de referencia</w:t>
            </w:r>
          </w:p>
          <w:p w14:paraId="3917D819" w14:textId="4655AC75" w:rsidR="59BD4447" w:rsidRDefault="7E5FBC9C" w:rsidP="3C234025">
            <w:pPr>
              <w:jc w:val="both"/>
              <w:rPr>
                <w:rFonts w:asciiTheme="minorHAnsi" w:eastAsiaTheme="minorEastAsia" w:hAnsiTheme="minorHAnsi" w:cstheme="minorBidi"/>
                <w:sz w:val="20"/>
                <w:szCs w:val="20"/>
              </w:rPr>
            </w:pPr>
            <w:r w:rsidRPr="6F1EDA97">
              <w:rPr>
                <w:rFonts w:asciiTheme="minorHAnsi" w:eastAsiaTheme="minorEastAsia" w:hAnsiTheme="minorHAnsi" w:cstheme="minorBidi"/>
                <w:sz w:val="20"/>
                <w:szCs w:val="20"/>
              </w:rPr>
              <w:t>Módulo didáctico de actuadores automotrices (tipo AV-A o equivalente). Alimentación: 12 VDC. Incluye actuadores reales de automoción: motor DC de ventilador de radiador (potencia ≈ 60-80 W), motor paso a paso de acelerador electrónico, electroválvulas de inyección (tiempo de apertura configurable), relés electromagnéticos y solenoides. Puntos de medición accesibles con bornes 2 mm. Permite simulación de señales de control analógicas y PWM. Posibilidad de conexión con módulo ECU para control integrado.</w:t>
            </w:r>
          </w:p>
        </w:tc>
      </w:tr>
      <w:tr w:rsidR="59BD4447" w14:paraId="06ACA6D9" w14:textId="77777777" w:rsidTr="0BDA33FB">
        <w:trPr>
          <w:trHeight w:val="300"/>
        </w:trPr>
        <w:tc>
          <w:tcPr>
            <w:tcW w:w="615" w:type="dxa"/>
          </w:tcPr>
          <w:p w14:paraId="2919282C" w14:textId="70F18743" w:rsidR="3AC7C124" w:rsidRDefault="3AC7C124" w:rsidP="62C29527">
            <w:pPr>
              <w:jc w:val="center"/>
            </w:pPr>
            <w:r>
              <w:t>9</w:t>
            </w:r>
          </w:p>
        </w:tc>
        <w:tc>
          <w:tcPr>
            <w:tcW w:w="5550" w:type="dxa"/>
          </w:tcPr>
          <w:p w14:paraId="59DDFE65" w14:textId="71CD3664" w:rsidR="59BD4447" w:rsidRDefault="59BD4447" w:rsidP="68D41FDE">
            <w:pPr>
              <w:jc w:val="center"/>
            </w:pPr>
            <w:r>
              <w:rPr>
                <w:noProof/>
              </w:rPr>
              <w:drawing>
                <wp:inline distT="0" distB="0" distL="0" distR="0" wp14:anchorId="60B14BA7" wp14:editId="44B61858">
                  <wp:extent cx="2952750" cy="1704975"/>
                  <wp:effectExtent l="0" t="0" r="0" b="0"/>
                  <wp:docPr id="1965428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2842" name="Picture 196542842"/>
                          <pic:cNvPicPr/>
                        </pic:nvPicPr>
                        <pic:blipFill>
                          <a:blip r:embed="rId21">
                            <a:extLst>
                              <a:ext uri="{28A0092B-C50C-407E-A947-70E740481C1C}">
                                <a14:useLocalDpi xmlns:a14="http://schemas.microsoft.com/office/drawing/2010/main"/>
                              </a:ext>
                            </a:extLst>
                          </a:blip>
                          <a:stretch>
                            <a:fillRect/>
                          </a:stretch>
                        </pic:blipFill>
                        <pic:spPr>
                          <a:xfrm>
                            <a:off x="0" y="0"/>
                            <a:ext cx="2952750" cy="1704975"/>
                          </a:xfrm>
                          <a:prstGeom prst="rect">
                            <a:avLst/>
                          </a:prstGeom>
                        </pic:spPr>
                      </pic:pic>
                    </a:graphicData>
                  </a:graphic>
                </wp:inline>
              </w:drawing>
            </w:r>
          </w:p>
        </w:tc>
        <w:tc>
          <w:tcPr>
            <w:tcW w:w="3585" w:type="dxa"/>
          </w:tcPr>
          <w:p w14:paraId="2309E1F3" w14:textId="2129AE7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7FF652BC" w14:textId="18F067B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Dispositivo de Control Electrónico para Automoción.</w:t>
            </w:r>
            <w:r w:rsidRPr="3C234025">
              <w:rPr>
                <w:rFonts w:asciiTheme="minorHAnsi" w:eastAsiaTheme="minorEastAsia" w:hAnsiTheme="minorHAnsi" w:cstheme="minorBidi"/>
                <w:sz w:val="20"/>
                <w:szCs w:val="20"/>
              </w:rPr>
              <w:t xml:space="preserve"> </w:t>
            </w:r>
          </w:p>
          <w:p w14:paraId="49F612A8" w14:textId="0B5988D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Permitir el análisis de unidades de control electrónico utilizadas en vehículos.</w:t>
            </w:r>
          </w:p>
          <w:p w14:paraId="2419AD02" w14:textId="46DEEA7D" w:rsidR="59BD4447" w:rsidRDefault="59BD4447" w:rsidP="3C234025">
            <w:pPr>
              <w:jc w:val="both"/>
              <w:rPr>
                <w:rFonts w:asciiTheme="minorHAnsi" w:eastAsiaTheme="minorEastAsia" w:hAnsiTheme="minorHAnsi" w:cstheme="minorBidi"/>
                <w:sz w:val="20"/>
                <w:szCs w:val="20"/>
              </w:rPr>
            </w:pPr>
          </w:p>
          <w:p w14:paraId="5BC62436" w14:textId="35A7260B" w:rsidR="59BD4447" w:rsidRDefault="7E5FBC9C" w:rsidP="3C234025">
            <w:pPr>
              <w:jc w:val="both"/>
              <w:rPr>
                <w:rFonts w:asciiTheme="minorHAnsi" w:eastAsiaTheme="minorEastAsia" w:hAnsiTheme="minorHAnsi" w:cstheme="minorBidi"/>
                <w:sz w:val="20"/>
                <w:szCs w:val="20"/>
              </w:rPr>
            </w:pPr>
            <w:r w:rsidRPr="6F1EDA97">
              <w:rPr>
                <w:rFonts w:asciiTheme="minorHAnsi" w:eastAsiaTheme="minorEastAsia" w:hAnsiTheme="minorHAnsi" w:cstheme="minorBidi"/>
                <w:b/>
                <w:bCs/>
                <w:sz w:val="20"/>
                <w:szCs w:val="20"/>
              </w:rPr>
              <w:t>Características técnicas de referencia</w:t>
            </w:r>
            <w:r w:rsidRPr="6F1EDA97">
              <w:rPr>
                <w:rFonts w:asciiTheme="minorHAnsi" w:eastAsiaTheme="minorEastAsia" w:hAnsiTheme="minorHAnsi" w:cstheme="minorBidi"/>
                <w:sz w:val="20"/>
                <w:szCs w:val="20"/>
              </w:rPr>
              <w:t xml:space="preserve"> </w:t>
            </w:r>
          </w:p>
          <w:p w14:paraId="173261ED" w14:textId="1F71FF38" w:rsidR="59BD4447" w:rsidRDefault="7E5FBC9C" w:rsidP="3C234025">
            <w:pPr>
              <w:jc w:val="both"/>
              <w:rPr>
                <w:rFonts w:asciiTheme="minorHAnsi" w:eastAsiaTheme="minorEastAsia" w:hAnsiTheme="minorHAnsi" w:cstheme="minorBidi"/>
                <w:sz w:val="20"/>
                <w:szCs w:val="20"/>
              </w:rPr>
            </w:pPr>
            <w:r w:rsidRPr="6F1EDA97">
              <w:rPr>
                <w:rFonts w:asciiTheme="minorHAnsi" w:eastAsiaTheme="minorEastAsia" w:hAnsiTheme="minorHAnsi" w:cstheme="minorBidi"/>
                <w:sz w:val="20"/>
                <w:szCs w:val="20"/>
              </w:rPr>
              <w:t>Plataforma didáctica de unidad de control electrónico automotriz (tipo AV-ECD o equivalente). ECU programable con soporte de protocolos CAN Bus (250/500 kbps) y LIN Bus (19.2 kbps). Permite reprogramar la ECU con diferentes modos de respuesta a señales de entrada. Conector OBD-II conforme a SAE J1962 para diagnóstico estándar. Pantalla de diagnóstico con visualización de parámetros PID en tiempo real. Simulación de averías en circuitos de sensores y actuadores mediante interruptores de fallo. Alimentación: 12 VDC. Software de diagnóstico incluido para PC.</w:t>
            </w:r>
          </w:p>
        </w:tc>
      </w:tr>
      <w:tr w:rsidR="59BD4447" w14:paraId="0086D54B" w14:textId="77777777" w:rsidTr="0BDA33FB">
        <w:trPr>
          <w:trHeight w:val="300"/>
        </w:trPr>
        <w:tc>
          <w:tcPr>
            <w:tcW w:w="615" w:type="dxa"/>
          </w:tcPr>
          <w:p w14:paraId="54E386F6" w14:textId="71752F2C" w:rsidR="228B1C69" w:rsidRDefault="228B1C69" w:rsidP="62C29527">
            <w:r>
              <w:t>10</w:t>
            </w:r>
          </w:p>
        </w:tc>
        <w:tc>
          <w:tcPr>
            <w:tcW w:w="5550" w:type="dxa"/>
          </w:tcPr>
          <w:p w14:paraId="4D221685" w14:textId="2D6BBD23" w:rsidR="59BD4447" w:rsidRDefault="59BD4447" w:rsidP="68D41FDE">
            <w:r>
              <w:rPr>
                <w:noProof/>
              </w:rPr>
              <w:drawing>
                <wp:inline distT="0" distB="0" distL="0" distR="0" wp14:anchorId="54CED7B8" wp14:editId="5CAA0F3F">
                  <wp:extent cx="2952750" cy="1647825"/>
                  <wp:effectExtent l="0" t="0" r="0" b="0"/>
                  <wp:docPr id="11732103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210350" name="Picture 1173210350"/>
                          <pic:cNvPicPr/>
                        </pic:nvPicPr>
                        <pic:blipFill>
                          <a:blip r:embed="rId22">
                            <a:extLst>
                              <a:ext uri="{28A0092B-C50C-407E-A947-70E740481C1C}">
                                <a14:useLocalDpi xmlns:a14="http://schemas.microsoft.com/office/drawing/2010/main"/>
                              </a:ext>
                            </a:extLst>
                          </a:blip>
                          <a:stretch>
                            <a:fillRect/>
                          </a:stretch>
                        </pic:blipFill>
                        <pic:spPr>
                          <a:xfrm>
                            <a:off x="0" y="0"/>
                            <a:ext cx="2952750" cy="1647825"/>
                          </a:xfrm>
                          <a:prstGeom prst="rect">
                            <a:avLst/>
                          </a:prstGeom>
                        </pic:spPr>
                      </pic:pic>
                    </a:graphicData>
                  </a:graphic>
                </wp:inline>
              </w:drawing>
            </w:r>
          </w:p>
        </w:tc>
        <w:tc>
          <w:tcPr>
            <w:tcW w:w="3585" w:type="dxa"/>
          </w:tcPr>
          <w:p w14:paraId="73B06565" w14:textId="51B5A4B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p>
          <w:p w14:paraId="7EFDB211" w14:textId="06320BC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Limpiaparabrisas en Automoción.</w:t>
            </w:r>
            <w:r w:rsidRPr="3C234025">
              <w:rPr>
                <w:rFonts w:asciiTheme="minorHAnsi" w:eastAsiaTheme="minorEastAsia" w:hAnsiTheme="minorHAnsi" w:cstheme="minorBidi"/>
                <w:sz w:val="20"/>
                <w:szCs w:val="20"/>
              </w:rPr>
              <w:t xml:space="preserve"> </w:t>
            </w:r>
          </w:p>
          <w:p w14:paraId="6A69BF8B" w14:textId="1A517C5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estudio del funcionamiento del sistema eléctrico del limpiaparabrisas. </w:t>
            </w:r>
          </w:p>
          <w:p w14:paraId="327C5904" w14:textId="4B4D6569" w:rsidR="59BD4447" w:rsidRDefault="59BD4447" w:rsidP="3C234025">
            <w:pPr>
              <w:jc w:val="both"/>
              <w:rPr>
                <w:rFonts w:asciiTheme="minorHAnsi" w:eastAsiaTheme="minorEastAsia" w:hAnsiTheme="minorHAnsi" w:cstheme="minorBidi"/>
                <w:b/>
                <w:bCs/>
                <w:sz w:val="20"/>
                <w:szCs w:val="20"/>
              </w:rPr>
            </w:pPr>
          </w:p>
          <w:p w14:paraId="510F2B22" w14:textId="3AB81C20" w:rsidR="59BD4447" w:rsidRDefault="7E5FBC9C" w:rsidP="3C234025">
            <w:pPr>
              <w:jc w:val="both"/>
              <w:rPr>
                <w:rFonts w:asciiTheme="minorHAnsi" w:eastAsiaTheme="minorEastAsia" w:hAnsiTheme="minorHAnsi" w:cstheme="minorBidi"/>
                <w:sz w:val="20"/>
                <w:szCs w:val="20"/>
              </w:rPr>
            </w:pPr>
            <w:r w:rsidRPr="6F1EDA97">
              <w:rPr>
                <w:rFonts w:asciiTheme="minorHAnsi" w:eastAsiaTheme="minorEastAsia" w:hAnsiTheme="minorHAnsi" w:cstheme="minorBidi"/>
                <w:b/>
                <w:bCs/>
                <w:sz w:val="20"/>
                <w:szCs w:val="20"/>
              </w:rPr>
              <w:t>Características técnicas de referencia</w:t>
            </w:r>
            <w:r w:rsidRPr="6F1EDA97">
              <w:rPr>
                <w:rFonts w:asciiTheme="minorHAnsi" w:eastAsiaTheme="minorEastAsia" w:hAnsiTheme="minorHAnsi" w:cstheme="minorBidi"/>
                <w:sz w:val="20"/>
                <w:szCs w:val="20"/>
              </w:rPr>
              <w:t xml:space="preserve"> </w:t>
            </w:r>
          </w:p>
          <w:p w14:paraId="3140EE9D" w14:textId="26471CB2" w:rsidR="59BD4447" w:rsidRDefault="6AB9EF1F" w:rsidP="3C234025">
            <w:pPr>
              <w:jc w:val="both"/>
              <w:rPr>
                <w:rFonts w:asciiTheme="minorHAnsi" w:eastAsiaTheme="minorEastAsia" w:hAnsiTheme="minorHAnsi" w:cstheme="minorBidi"/>
                <w:sz w:val="20"/>
                <w:szCs w:val="20"/>
              </w:rPr>
            </w:pPr>
            <w:r w:rsidRPr="6F1EDA97">
              <w:rPr>
                <w:rFonts w:asciiTheme="minorHAnsi" w:eastAsiaTheme="minorEastAsia" w:hAnsiTheme="minorHAnsi" w:cstheme="minorBidi"/>
                <w:sz w:val="20"/>
                <w:szCs w:val="20"/>
              </w:rPr>
              <w:t xml:space="preserve">Módulo didáctico del sistema limpiaparabrisas automotriz (tipo AV-WW o equivalente). Motor eléctrico de limpiaparabrisas real de 12 VDC, potencia nominal aproximada 40-60 W. Velocidades de operación: intermitente (ajustable), lenta y rápida. Sistema de relé electrónico de control de velocidad variable e intermitencia. Bomba </w:t>
            </w:r>
            <w:bookmarkStart w:id="1" w:name="_Int_e1kmfnDx"/>
            <w:r w:rsidRPr="6F1EDA97">
              <w:rPr>
                <w:rFonts w:asciiTheme="minorHAnsi" w:eastAsiaTheme="minorEastAsia" w:hAnsiTheme="minorHAnsi" w:cstheme="minorBidi"/>
                <w:sz w:val="20"/>
                <w:szCs w:val="20"/>
              </w:rPr>
              <w:t>lavaparabrisas integrada</w:t>
            </w:r>
            <w:bookmarkEnd w:id="1"/>
            <w:r w:rsidRPr="6F1EDA97">
              <w:rPr>
                <w:rFonts w:asciiTheme="minorHAnsi" w:eastAsiaTheme="minorEastAsia" w:hAnsiTheme="minorHAnsi" w:cstheme="minorBidi"/>
                <w:sz w:val="20"/>
                <w:szCs w:val="20"/>
              </w:rPr>
              <w:t xml:space="preserve"> (12 VDC, caudal ≈ 0.5 L/min). Panel de control con interruptores de selección de velocidad y simulación de averías. Bornes de medición accesibles para diagnóstico eléctrico.</w:t>
            </w:r>
          </w:p>
        </w:tc>
      </w:tr>
      <w:tr w:rsidR="59BD4447" w14:paraId="2EB14C8A" w14:textId="77777777" w:rsidTr="0BDA33FB">
        <w:trPr>
          <w:trHeight w:val="300"/>
        </w:trPr>
        <w:tc>
          <w:tcPr>
            <w:tcW w:w="615" w:type="dxa"/>
          </w:tcPr>
          <w:p w14:paraId="45DFD42C" w14:textId="100F7B6A" w:rsidR="2EBEC854" w:rsidRDefault="2EBEC854" w:rsidP="62C29527">
            <w:r>
              <w:t>11</w:t>
            </w:r>
          </w:p>
        </w:tc>
        <w:tc>
          <w:tcPr>
            <w:tcW w:w="5550" w:type="dxa"/>
          </w:tcPr>
          <w:p w14:paraId="707B5767" w14:textId="3BF172C5" w:rsidR="59BD4447" w:rsidRDefault="59BD4447" w:rsidP="68D41FDE">
            <w:r>
              <w:rPr>
                <w:noProof/>
              </w:rPr>
              <w:drawing>
                <wp:inline distT="0" distB="0" distL="0" distR="0" wp14:anchorId="6CE62BF6" wp14:editId="1135558F">
                  <wp:extent cx="2952750" cy="2228850"/>
                  <wp:effectExtent l="0" t="0" r="0" b="0"/>
                  <wp:docPr id="17961323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13233" name="Picture 179613233"/>
                          <pic:cNvPicPr/>
                        </pic:nvPicPr>
                        <pic:blipFill>
                          <a:blip r:embed="rId23">
                            <a:extLst>
                              <a:ext uri="{28A0092B-C50C-407E-A947-70E740481C1C}">
                                <a14:useLocalDpi xmlns:a14="http://schemas.microsoft.com/office/drawing/2010/main"/>
                              </a:ext>
                            </a:extLst>
                          </a:blip>
                          <a:stretch>
                            <a:fillRect/>
                          </a:stretch>
                        </pic:blipFill>
                        <pic:spPr>
                          <a:xfrm>
                            <a:off x="0" y="0"/>
                            <a:ext cx="2952750" cy="2228850"/>
                          </a:xfrm>
                          <a:prstGeom prst="rect">
                            <a:avLst/>
                          </a:prstGeom>
                        </pic:spPr>
                      </pic:pic>
                    </a:graphicData>
                  </a:graphic>
                </wp:inline>
              </w:drawing>
            </w:r>
          </w:p>
        </w:tc>
        <w:tc>
          <w:tcPr>
            <w:tcW w:w="3585" w:type="dxa"/>
          </w:tcPr>
          <w:p w14:paraId="04517F02" w14:textId="3C51E1F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03638DC6" w14:textId="529AC76C"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Circuito de Refrigeración de Motor en Automoción.</w:t>
            </w:r>
            <w:r w:rsidRPr="3C234025">
              <w:rPr>
                <w:rFonts w:asciiTheme="minorHAnsi" w:eastAsiaTheme="minorEastAsia" w:hAnsiTheme="minorHAnsi" w:cstheme="minorBidi"/>
                <w:sz w:val="20"/>
                <w:szCs w:val="20"/>
              </w:rPr>
              <w:t xml:space="preserve"> </w:t>
            </w:r>
          </w:p>
          <w:p w14:paraId="31B1AF78" w14:textId="795A355B"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análisis de sistemas de control térmico en motores. </w:t>
            </w:r>
          </w:p>
          <w:p w14:paraId="16FA54C9" w14:textId="378DCDDD" w:rsidR="59BD4447" w:rsidRDefault="59BD4447" w:rsidP="3C234025">
            <w:pPr>
              <w:jc w:val="both"/>
              <w:rPr>
                <w:rFonts w:asciiTheme="minorHAnsi" w:eastAsiaTheme="minorEastAsia" w:hAnsiTheme="minorHAnsi" w:cstheme="minorBidi"/>
                <w:b/>
                <w:bCs/>
                <w:sz w:val="20"/>
                <w:szCs w:val="20"/>
              </w:rPr>
            </w:pPr>
          </w:p>
          <w:p w14:paraId="70B72607" w14:textId="6B8AA35B"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65D57E01" w14:textId="3A07AA03" w:rsidR="59BD4447" w:rsidRDefault="7E5FBC9C" w:rsidP="3C234025">
            <w:pPr>
              <w:jc w:val="both"/>
              <w:rPr>
                <w:rFonts w:asciiTheme="minorHAnsi" w:eastAsiaTheme="minorEastAsia" w:hAnsiTheme="minorHAnsi" w:cstheme="minorBidi"/>
                <w:sz w:val="20"/>
                <w:szCs w:val="20"/>
              </w:rPr>
            </w:pPr>
            <w:r w:rsidRPr="6F1EDA97">
              <w:rPr>
                <w:rFonts w:asciiTheme="minorHAnsi" w:eastAsiaTheme="minorEastAsia" w:hAnsiTheme="minorHAnsi" w:cstheme="minorBidi"/>
                <w:sz w:val="20"/>
                <w:szCs w:val="20"/>
              </w:rPr>
              <w:t>Módulo didáctico del circuito de refrigeración de motor automotriz (tipo AV-ECR o equivalente). Sistema de refrigeración a escala real con bomba de agua (12 VDC, caudal ≈ 5-10 L/min), termostato (temperatura de apertura ≈ 82°C), ventilador eléctrico y radiador. Sensores de temperatura NTC: rango -40°C a 130°C, precisión ±1°C. Sensor de caudal: rango 0.5-15 L/min. Resistencia calefactora para simulación del motor (potencia ≈ 300 W). Monitoreo digital de temperatura en múltiples puntos del circuito. Alimentación: 12 VDC.</w:t>
            </w:r>
          </w:p>
        </w:tc>
      </w:tr>
      <w:tr w:rsidR="59BD4447" w14:paraId="1F12CF5A" w14:textId="77777777" w:rsidTr="0BDA33FB">
        <w:trPr>
          <w:trHeight w:val="300"/>
        </w:trPr>
        <w:tc>
          <w:tcPr>
            <w:tcW w:w="615" w:type="dxa"/>
          </w:tcPr>
          <w:p w14:paraId="03012CFD" w14:textId="328BABF0" w:rsidR="46EA3319" w:rsidRDefault="46EA3319" w:rsidP="62C29527">
            <w:r>
              <w:t>12</w:t>
            </w:r>
          </w:p>
        </w:tc>
        <w:tc>
          <w:tcPr>
            <w:tcW w:w="5550" w:type="dxa"/>
          </w:tcPr>
          <w:p w14:paraId="5C61280B" w14:textId="63BB2BE2" w:rsidR="59BD4447" w:rsidRDefault="59BD4447" w:rsidP="68D41FDE">
            <w:r>
              <w:rPr>
                <w:noProof/>
              </w:rPr>
              <w:drawing>
                <wp:inline distT="0" distB="0" distL="0" distR="0" wp14:anchorId="3A6DDFE2" wp14:editId="03963B93">
                  <wp:extent cx="2952750" cy="2495550"/>
                  <wp:effectExtent l="0" t="0" r="0" b="0"/>
                  <wp:docPr id="8972501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250198" name="Picture 897250198"/>
                          <pic:cNvPicPr/>
                        </pic:nvPicPr>
                        <pic:blipFill>
                          <a:blip r:embed="rId24">
                            <a:extLst>
                              <a:ext uri="{28A0092B-C50C-407E-A947-70E740481C1C}">
                                <a14:useLocalDpi xmlns:a14="http://schemas.microsoft.com/office/drawing/2010/main"/>
                              </a:ext>
                            </a:extLst>
                          </a:blip>
                          <a:stretch>
                            <a:fillRect/>
                          </a:stretch>
                        </pic:blipFill>
                        <pic:spPr>
                          <a:xfrm>
                            <a:off x="0" y="0"/>
                            <a:ext cx="2952750" cy="2495550"/>
                          </a:xfrm>
                          <a:prstGeom prst="rect">
                            <a:avLst/>
                          </a:prstGeom>
                        </pic:spPr>
                      </pic:pic>
                    </a:graphicData>
                  </a:graphic>
                </wp:inline>
              </w:drawing>
            </w:r>
          </w:p>
        </w:tc>
        <w:tc>
          <w:tcPr>
            <w:tcW w:w="3585" w:type="dxa"/>
          </w:tcPr>
          <w:p w14:paraId="523ED747" w14:textId="7542EE9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20FDDD2E" w14:textId="14D6794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Componentes Auxiliares en Automoción.</w:t>
            </w:r>
            <w:r w:rsidRPr="3C234025">
              <w:rPr>
                <w:rFonts w:asciiTheme="minorHAnsi" w:eastAsiaTheme="minorEastAsia" w:hAnsiTheme="minorHAnsi" w:cstheme="minorBidi"/>
                <w:sz w:val="20"/>
                <w:szCs w:val="20"/>
              </w:rPr>
              <w:t xml:space="preserve"> </w:t>
            </w:r>
          </w:p>
          <w:p w14:paraId="4CADA8AC" w14:textId="2EEEEA2C"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estudio de subsistemas auxiliares eléctricos de vehículos. </w:t>
            </w:r>
          </w:p>
          <w:p w14:paraId="297892B2" w14:textId="4277CE53" w:rsidR="59BD4447" w:rsidRDefault="59BD4447" w:rsidP="3C234025">
            <w:pPr>
              <w:jc w:val="both"/>
              <w:rPr>
                <w:rFonts w:asciiTheme="minorHAnsi" w:eastAsiaTheme="minorEastAsia" w:hAnsiTheme="minorHAnsi" w:cstheme="minorBidi"/>
                <w:sz w:val="20"/>
                <w:szCs w:val="20"/>
              </w:rPr>
            </w:pPr>
          </w:p>
          <w:p w14:paraId="0F4B1667" w14:textId="168755B9"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5E08D903" w14:textId="1C9BC3B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Módulo didáctico de componentes auxiliares eléctricos automotrices (tipo AV-AC o equivalente). Alimentación: 12 VDC. Incluye sistemas auxiliares reales: elevalunas eléctrico con motor DC bidireccional (par ≈ 10-15 Nm), sistema de cierre centralizado con actuadores solenoides (2 puertas mínimo), retrovisor eléctrico con motor paso a paso (doble eje), bocina electrónica (92 dB mínimo). Panel de maniobras con interruptores de control. Puntos de medición con bornes 2 mm. Simulación de averías configurable por interruptores de fallo.</w:t>
            </w:r>
          </w:p>
        </w:tc>
      </w:tr>
      <w:tr w:rsidR="59BD4447" w14:paraId="33B33A79" w14:textId="77777777" w:rsidTr="0BDA33FB">
        <w:trPr>
          <w:trHeight w:val="300"/>
        </w:trPr>
        <w:tc>
          <w:tcPr>
            <w:tcW w:w="615" w:type="dxa"/>
          </w:tcPr>
          <w:p w14:paraId="2ADAC09B" w14:textId="337EE738" w:rsidR="435CB4DE" w:rsidRDefault="435CB4DE" w:rsidP="62C29527">
            <w:r>
              <w:t>13</w:t>
            </w:r>
          </w:p>
        </w:tc>
        <w:tc>
          <w:tcPr>
            <w:tcW w:w="5550" w:type="dxa"/>
          </w:tcPr>
          <w:p w14:paraId="3A460E40" w14:textId="010F8DC4" w:rsidR="59BD4447" w:rsidRDefault="59BD4447" w:rsidP="68D41FDE">
            <w:r>
              <w:rPr>
                <w:noProof/>
              </w:rPr>
              <w:drawing>
                <wp:inline distT="0" distB="0" distL="0" distR="0" wp14:anchorId="76AFCB44" wp14:editId="008E4D86">
                  <wp:extent cx="2952750" cy="1828800"/>
                  <wp:effectExtent l="0" t="0" r="0" b="0"/>
                  <wp:docPr id="3669242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24258" name="Picture 366924258"/>
                          <pic:cNvPicPr/>
                        </pic:nvPicPr>
                        <pic:blipFill>
                          <a:blip r:embed="rId25">
                            <a:extLst>
                              <a:ext uri="{28A0092B-C50C-407E-A947-70E740481C1C}">
                                <a14:useLocalDpi xmlns:a14="http://schemas.microsoft.com/office/drawing/2010/main"/>
                              </a:ext>
                            </a:extLst>
                          </a:blip>
                          <a:stretch>
                            <a:fillRect/>
                          </a:stretch>
                        </pic:blipFill>
                        <pic:spPr>
                          <a:xfrm>
                            <a:off x="0" y="0"/>
                            <a:ext cx="2952750" cy="1828800"/>
                          </a:xfrm>
                          <a:prstGeom prst="rect">
                            <a:avLst/>
                          </a:prstGeom>
                        </pic:spPr>
                      </pic:pic>
                    </a:graphicData>
                  </a:graphic>
                </wp:inline>
              </w:drawing>
            </w:r>
          </w:p>
        </w:tc>
        <w:tc>
          <w:tcPr>
            <w:tcW w:w="3585" w:type="dxa"/>
          </w:tcPr>
          <w:p w14:paraId="36CDFFDA" w14:textId="5A88F1D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6F83C311" w14:textId="4D6F058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Dispositivo de Control Electrónico para Automoción.</w:t>
            </w:r>
            <w:r w:rsidRPr="3C234025">
              <w:rPr>
                <w:rFonts w:asciiTheme="minorHAnsi" w:eastAsiaTheme="minorEastAsia" w:hAnsiTheme="minorHAnsi" w:cstheme="minorBidi"/>
                <w:sz w:val="20"/>
                <w:szCs w:val="20"/>
              </w:rPr>
              <w:t xml:space="preserve"> </w:t>
            </w:r>
          </w:p>
          <w:p w14:paraId="6278499C" w14:textId="42D460A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prácticas adicionales de diagnóstico de sistemas electrónicos. </w:t>
            </w:r>
          </w:p>
          <w:p w14:paraId="4AA0A263" w14:textId="4789D03E" w:rsidR="59BD4447" w:rsidRDefault="59BD4447" w:rsidP="3C234025">
            <w:pPr>
              <w:jc w:val="both"/>
              <w:rPr>
                <w:rFonts w:asciiTheme="minorHAnsi" w:eastAsiaTheme="minorEastAsia" w:hAnsiTheme="minorHAnsi" w:cstheme="minorBidi"/>
                <w:sz w:val="20"/>
                <w:szCs w:val="20"/>
              </w:rPr>
            </w:pPr>
          </w:p>
          <w:p w14:paraId="7022B4A8" w14:textId="48B1751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69538774" w14:textId="7A7F87D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Plataforma didáctica para análisis de ECU automotriz.</w:t>
            </w:r>
          </w:p>
        </w:tc>
      </w:tr>
      <w:tr w:rsidR="59BD4447" w14:paraId="5D534C9D" w14:textId="77777777" w:rsidTr="0BDA33FB">
        <w:trPr>
          <w:trHeight w:val="300"/>
        </w:trPr>
        <w:tc>
          <w:tcPr>
            <w:tcW w:w="615" w:type="dxa"/>
          </w:tcPr>
          <w:p w14:paraId="7C2C89EB" w14:textId="1F5C35A0" w:rsidR="570600C5" w:rsidRDefault="570600C5" w:rsidP="62C29527">
            <w:r>
              <w:t>14</w:t>
            </w:r>
          </w:p>
        </w:tc>
        <w:tc>
          <w:tcPr>
            <w:tcW w:w="5550" w:type="dxa"/>
          </w:tcPr>
          <w:p w14:paraId="32C9F4C0" w14:textId="27BF676C" w:rsidR="59BD4447" w:rsidRDefault="59BD4447" w:rsidP="68D41FDE">
            <w:r>
              <w:rPr>
                <w:noProof/>
              </w:rPr>
              <w:drawing>
                <wp:inline distT="0" distB="0" distL="0" distR="0" wp14:anchorId="4DBD53F3" wp14:editId="6889E370">
                  <wp:extent cx="2952750" cy="2943225"/>
                  <wp:effectExtent l="0" t="0" r="0" b="0"/>
                  <wp:docPr id="8357880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788084" name="Picture 835788084"/>
                          <pic:cNvPicPr/>
                        </pic:nvPicPr>
                        <pic:blipFill>
                          <a:blip r:embed="rId26">
                            <a:extLst>
                              <a:ext uri="{28A0092B-C50C-407E-A947-70E740481C1C}">
                                <a14:useLocalDpi xmlns:a14="http://schemas.microsoft.com/office/drawing/2010/main"/>
                              </a:ext>
                            </a:extLst>
                          </a:blip>
                          <a:stretch>
                            <a:fillRect/>
                          </a:stretch>
                        </pic:blipFill>
                        <pic:spPr>
                          <a:xfrm>
                            <a:off x="0" y="0"/>
                            <a:ext cx="2952750" cy="2943225"/>
                          </a:xfrm>
                          <a:prstGeom prst="rect">
                            <a:avLst/>
                          </a:prstGeom>
                        </pic:spPr>
                      </pic:pic>
                    </a:graphicData>
                  </a:graphic>
                </wp:inline>
              </w:drawing>
            </w:r>
          </w:p>
        </w:tc>
        <w:tc>
          <w:tcPr>
            <w:tcW w:w="3585" w:type="dxa"/>
          </w:tcPr>
          <w:p w14:paraId="014A42BB" w14:textId="13CF1809"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403F8CD9" w14:textId="69C783A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Sensores en Automoción.</w:t>
            </w:r>
            <w:r w:rsidRPr="3C234025">
              <w:rPr>
                <w:rFonts w:asciiTheme="minorHAnsi" w:eastAsiaTheme="minorEastAsia" w:hAnsiTheme="minorHAnsi" w:cstheme="minorBidi"/>
                <w:sz w:val="20"/>
                <w:szCs w:val="20"/>
              </w:rPr>
              <w:t xml:space="preserve"> </w:t>
            </w:r>
          </w:p>
          <w:p w14:paraId="7D74E077" w14:textId="05CBF2E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estudio de sensores utilizados en vehículos modernos. </w:t>
            </w:r>
          </w:p>
          <w:p w14:paraId="732E9947" w14:textId="604220FE" w:rsidR="59BD4447" w:rsidRDefault="59BD4447" w:rsidP="3C234025">
            <w:pPr>
              <w:jc w:val="both"/>
              <w:rPr>
                <w:rFonts w:asciiTheme="minorHAnsi" w:eastAsiaTheme="minorEastAsia" w:hAnsiTheme="minorHAnsi" w:cstheme="minorBidi"/>
                <w:b/>
                <w:bCs/>
                <w:sz w:val="20"/>
                <w:szCs w:val="20"/>
              </w:rPr>
            </w:pPr>
          </w:p>
          <w:p w14:paraId="37AF7580" w14:textId="598998BA" w:rsidR="59BD4447" w:rsidRPr="00E66AB0" w:rsidRDefault="1141884C" w:rsidP="3C234025">
            <w:pPr>
              <w:jc w:val="both"/>
              <w:rPr>
                <w:rFonts w:asciiTheme="minorHAnsi" w:eastAsiaTheme="minorEastAsia" w:hAnsiTheme="minorHAnsi" w:cstheme="minorBidi"/>
                <w:sz w:val="20"/>
                <w:szCs w:val="20"/>
                <w:lang w:val="pt-BR"/>
              </w:rPr>
            </w:pPr>
            <w:r w:rsidRPr="00E66AB0">
              <w:rPr>
                <w:rFonts w:asciiTheme="minorHAnsi" w:eastAsiaTheme="minorEastAsia" w:hAnsiTheme="minorHAnsi" w:cstheme="minorBidi"/>
                <w:b/>
                <w:bCs/>
                <w:sz w:val="20"/>
                <w:szCs w:val="20"/>
                <w:lang w:val="pt-BR"/>
              </w:rPr>
              <w:t>Características técnicas de referencia</w:t>
            </w:r>
            <w:r w:rsidRPr="00E66AB0">
              <w:rPr>
                <w:rFonts w:asciiTheme="minorHAnsi" w:eastAsiaTheme="minorEastAsia" w:hAnsiTheme="minorHAnsi" w:cstheme="minorBidi"/>
                <w:sz w:val="20"/>
                <w:szCs w:val="20"/>
                <w:lang w:val="pt-BR"/>
              </w:rPr>
              <w:t xml:space="preserve"> </w:t>
            </w:r>
          </w:p>
          <w:p w14:paraId="08CD8FFF" w14:textId="7B1EF024" w:rsidR="59BD4447" w:rsidRDefault="1141884C" w:rsidP="3C234025">
            <w:pPr>
              <w:jc w:val="both"/>
              <w:rPr>
                <w:rFonts w:asciiTheme="minorHAnsi" w:eastAsiaTheme="minorEastAsia" w:hAnsiTheme="minorHAnsi" w:cstheme="minorBidi"/>
                <w:sz w:val="20"/>
                <w:szCs w:val="20"/>
              </w:rPr>
            </w:pPr>
            <w:r w:rsidRPr="00E66AB0">
              <w:rPr>
                <w:rFonts w:asciiTheme="minorHAnsi" w:eastAsiaTheme="minorEastAsia" w:hAnsiTheme="minorHAnsi" w:cstheme="minorBidi"/>
                <w:sz w:val="20"/>
                <w:szCs w:val="20"/>
                <w:lang w:val="pt-BR"/>
              </w:rPr>
              <w:t xml:space="preserve">Módulo didáctico de sensores automotrices (tipo AV-S o equivalente). </w:t>
            </w:r>
            <w:r w:rsidRPr="3C234025">
              <w:rPr>
                <w:rFonts w:asciiTheme="minorHAnsi" w:eastAsiaTheme="minorEastAsia" w:hAnsiTheme="minorHAnsi" w:cstheme="minorBidi"/>
                <w:sz w:val="20"/>
                <w:szCs w:val="20"/>
              </w:rPr>
              <w:t>Alimentación: 12 VDC. Incluye sensores reales del sistema de gestión del motor: sensor MAF (masa de aire, salida analógica 0-5 V o frecuencia), sensor Lambda/O2 (tensión de salida 0.1-0.9 V), sensor de temperatura del motor NTC (-40°C a 130°C), sensor de presión de aceite, sensor de posición del pedal del acelerador (TPS). Sensores del sistema de seguridad: ABS, airbag (señales simuladas). Comunicación: señales analógicas, digitales, PWM, CAN Bus y LIN Bus. Puntos de medición accesibles mediante bornes estándar 2 mm. Compatible con módulo ECU para circuito cerrado.</w:t>
            </w:r>
          </w:p>
        </w:tc>
      </w:tr>
      <w:tr w:rsidR="59BD4447" w14:paraId="5EABD11E" w14:textId="77777777" w:rsidTr="0BDA33FB">
        <w:trPr>
          <w:trHeight w:val="300"/>
        </w:trPr>
        <w:tc>
          <w:tcPr>
            <w:tcW w:w="615" w:type="dxa"/>
          </w:tcPr>
          <w:p w14:paraId="6E6D6726" w14:textId="7BBAA25E" w:rsidR="4718EF49" w:rsidRDefault="4718EF49" w:rsidP="62C29527">
            <w:pPr>
              <w:jc w:val="center"/>
            </w:pPr>
            <w:r>
              <w:t>15</w:t>
            </w:r>
          </w:p>
        </w:tc>
        <w:tc>
          <w:tcPr>
            <w:tcW w:w="5550" w:type="dxa"/>
          </w:tcPr>
          <w:p w14:paraId="54ECBF4E" w14:textId="28CF906E" w:rsidR="59BD4447" w:rsidRDefault="59BD4447" w:rsidP="68D41FDE">
            <w:pPr>
              <w:jc w:val="center"/>
            </w:pPr>
            <w:r>
              <w:rPr>
                <w:noProof/>
              </w:rPr>
              <w:drawing>
                <wp:inline distT="0" distB="0" distL="0" distR="0" wp14:anchorId="79FCD83F" wp14:editId="6375586D">
                  <wp:extent cx="2590800" cy="2952750"/>
                  <wp:effectExtent l="0" t="0" r="0" b="0"/>
                  <wp:docPr id="13563938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393876" name="Picture 1356393876"/>
                          <pic:cNvPicPr/>
                        </pic:nvPicPr>
                        <pic:blipFill>
                          <a:blip r:embed="rId27">
                            <a:extLst>
                              <a:ext uri="{28A0092B-C50C-407E-A947-70E740481C1C}">
                                <a14:useLocalDpi xmlns:a14="http://schemas.microsoft.com/office/drawing/2010/main"/>
                              </a:ext>
                            </a:extLst>
                          </a:blip>
                          <a:stretch>
                            <a:fillRect/>
                          </a:stretch>
                        </pic:blipFill>
                        <pic:spPr>
                          <a:xfrm>
                            <a:off x="0" y="0"/>
                            <a:ext cx="2590800" cy="2952750"/>
                          </a:xfrm>
                          <a:prstGeom prst="rect">
                            <a:avLst/>
                          </a:prstGeom>
                        </pic:spPr>
                      </pic:pic>
                    </a:graphicData>
                  </a:graphic>
                </wp:inline>
              </w:drawing>
            </w:r>
          </w:p>
        </w:tc>
        <w:tc>
          <w:tcPr>
            <w:tcW w:w="3585" w:type="dxa"/>
          </w:tcPr>
          <w:p w14:paraId="4BC8EDB2" w14:textId="6F865D3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394D6752" w14:textId="2E601B9B"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Actuadores en Automoción.</w:t>
            </w:r>
            <w:r w:rsidRPr="3C234025">
              <w:rPr>
                <w:rFonts w:asciiTheme="minorHAnsi" w:eastAsiaTheme="minorEastAsia" w:hAnsiTheme="minorHAnsi" w:cstheme="minorBidi"/>
                <w:sz w:val="20"/>
                <w:szCs w:val="20"/>
              </w:rPr>
              <w:t xml:space="preserve"> </w:t>
            </w:r>
          </w:p>
          <w:p w14:paraId="7201A495" w14:textId="4967106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prácticas de control y funcionamiento de actuadores automotrices. </w:t>
            </w:r>
          </w:p>
          <w:p w14:paraId="3189D11E" w14:textId="5E70D092" w:rsidR="59BD4447" w:rsidRDefault="59BD4447" w:rsidP="3C234025">
            <w:pPr>
              <w:jc w:val="both"/>
              <w:rPr>
                <w:rFonts w:asciiTheme="minorHAnsi" w:eastAsiaTheme="minorEastAsia" w:hAnsiTheme="minorHAnsi" w:cstheme="minorBidi"/>
                <w:sz w:val="20"/>
                <w:szCs w:val="20"/>
              </w:rPr>
            </w:pPr>
          </w:p>
          <w:p w14:paraId="7F6AEB46" w14:textId="14DFB1B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6176E7F3" w14:textId="1016691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Plataforma didáctica de actuadores eléctricos automotrices, segunda unidad de prácticas (tipo AV-A o equivalente). Alimentación: 12 VDC. Actuadores incluidos: inyector de combustible (tiempo de inyección configurable 1-10 ms), bobina de encendido con módulo de potencia, válvula EGR (recirculación de gases, apertura 0-100%), servomotor de mariposa electrónica (0-100% apertura). Señales de control PWM y analógicas. Medición de corriente por actuador (shunt integrado). Bornes de prueba 2 mm accesibles.</w:t>
            </w:r>
          </w:p>
        </w:tc>
      </w:tr>
      <w:tr w:rsidR="59BD4447" w14:paraId="72C55A9D" w14:textId="77777777" w:rsidTr="0BDA33FB">
        <w:trPr>
          <w:trHeight w:val="300"/>
        </w:trPr>
        <w:tc>
          <w:tcPr>
            <w:tcW w:w="615" w:type="dxa"/>
          </w:tcPr>
          <w:p w14:paraId="5CA40119" w14:textId="20FADFDB" w:rsidR="76493B52" w:rsidRDefault="76493B52" w:rsidP="62C29527">
            <w:r>
              <w:t>16</w:t>
            </w:r>
          </w:p>
        </w:tc>
        <w:tc>
          <w:tcPr>
            <w:tcW w:w="5550" w:type="dxa"/>
          </w:tcPr>
          <w:p w14:paraId="2EA85C26" w14:textId="1D7AA2F7" w:rsidR="59BD4447" w:rsidRDefault="59BD4447" w:rsidP="68D41FDE">
            <w:r>
              <w:rPr>
                <w:noProof/>
              </w:rPr>
              <w:drawing>
                <wp:inline distT="0" distB="0" distL="0" distR="0" wp14:anchorId="6DECD58F" wp14:editId="2DEAC75C">
                  <wp:extent cx="2952750" cy="1743075"/>
                  <wp:effectExtent l="0" t="0" r="0" b="0"/>
                  <wp:docPr id="6195127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512715" name="Picture 619512715"/>
                          <pic:cNvPicPr/>
                        </pic:nvPicPr>
                        <pic:blipFill>
                          <a:blip r:embed="rId28">
                            <a:extLst>
                              <a:ext uri="{28A0092B-C50C-407E-A947-70E740481C1C}">
                                <a14:useLocalDpi xmlns:a14="http://schemas.microsoft.com/office/drawing/2010/main"/>
                              </a:ext>
                            </a:extLst>
                          </a:blip>
                          <a:stretch>
                            <a:fillRect/>
                          </a:stretch>
                        </pic:blipFill>
                        <pic:spPr>
                          <a:xfrm>
                            <a:off x="0" y="0"/>
                            <a:ext cx="2952750" cy="1743075"/>
                          </a:xfrm>
                          <a:prstGeom prst="rect">
                            <a:avLst/>
                          </a:prstGeom>
                        </pic:spPr>
                      </pic:pic>
                    </a:graphicData>
                  </a:graphic>
                </wp:inline>
              </w:drawing>
            </w:r>
          </w:p>
        </w:tc>
        <w:tc>
          <w:tcPr>
            <w:tcW w:w="3585" w:type="dxa"/>
          </w:tcPr>
          <w:p w14:paraId="5FBF1A6A" w14:textId="0ECE44F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0FD02DC4" w14:textId="0953828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Dispositivo de Control Electrónico para Automoción.</w:t>
            </w:r>
            <w:r w:rsidRPr="3C234025">
              <w:rPr>
                <w:rFonts w:asciiTheme="minorHAnsi" w:eastAsiaTheme="minorEastAsia" w:hAnsiTheme="minorHAnsi" w:cstheme="minorBidi"/>
                <w:sz w:val="20"/>
                <w:szCs w:val="20"/>
              </w:rPr>
              <w:t xml:space="preserve"> Permitir el estudio avanzado de control electrónico automotriz. </w:t>
            </w:r>
          </w:p>
          <w:p w14:paraId="05B42899" w14:textId="0AA521A1" w:rsidR="59BD4447" w:rsidRDefault="59BD4447" w:rsidP="3C234025">
            <w:pPr>
              <w:jc w:val="both"/>
              <w:rPr>
                <w:rFonts w:asciiTheme="minorHAnsi" w:eastAsiaTheme="minorEastAsia" w:hAnsiTheme="minorHAnsi" w:cstheme="minorBidi"/>
                <w:b/>
                <w:bCs/>
                <w:sz w:val="20"/>
                <w:szCs w:val="20"/>
              </w:rPr>
            </w:pPr>
          </w:p>
          <w:p w14:paraId="703583BF" w14:textId="5594102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4FF9E227" w14:textId="23C3912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didáctico para diagnóstico avanzado y programación básica de unidades de control electrónico (tipo AV-ECD o equivalente). ECU con múltiples mapas de calibración reprogramables. Comunicación OBD-II, CAN Bus, LIN Bus y K-Line. Software de diagnóstico con visualización de parámetros PID, lectura/borrado de códigos DTC y actuaciones de componentes. Módulo de calibración de sensores incluido. Permite programación de umbrales de alarma y respuesta de actuadores. Alimentación: 12 VDC.</w:t>
            </w:r>
          </w:p>
        </w:tc>
      </w:tr>
      <w:tr w:rsidR="59BD4447" w14:paraId="2295FF1F" w14:textId="77777777" w:rsidTr="0BDA33FB">
        <w:trPr>
          <w:trHeight w:val="300"/>
        </w:trPr>
        <w:tc>
          <w:tcPr>
            <w:tcW w:w="615" w:type="dxa"/>
          </w:tcPr>
          <w:p w14:paraId="118FAD0B" w14:textId="6260A7DD" w:rsidR="233875DB" w:rsidRDefault="233875DB" w:rsidP="62C29527">
            <w:r>
              <w:t>17</w:t>
            </w:r>
          </w:p>
        </w:tc>
        <w:tc>
          <w:tcPr>
            <w:tcW w:w="5550" w:type="dxa"/>
          </w:tcPr>
          <w:p w14:paraId="5CAFFCAD" w14:textId="53FD7C79" w:rsidR="59BD4447" w:rsidRDefault="59BD4447" w:rsidP="68D41FDE">
            <w:r>
              <w:rPr>
                <w:noProof/>
              </w:rPr>
              <w:drawing>
                <wp:inline distT="0" distB="0" distL="0" distR="0" wp14:anchorId="6783C1C2" wp14:editId="6A8D9843">
                  <wp:extent cx="2952750" cy="2238375"/>
                  <wp:effectExtent l="0" t="0" r="0" b="0"/>
                  <wp:docPr id="97346104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461047" name="Picture 973461047"/>
                          <pic:cNvPicPr/>
                        </pic:nvPicPr>
                        <pic:blipFill>
                          <a:blip r:embed="rId29">
                            <a:extLst>
                              <a:ext uri="{28A0092B-C50C-407E-A947-70E740481C1C}">
                                <a14:useLocalDpi xmlns:a14="http://schemas.microsoft.com/office/drawing/2010/main"/>
                              </a:ext>
                            </a:extLst>
                          </a:blip>
                          <a:stretch>
                            <a:fillRect/>
                          </a:stretch>
                        </pic:blipFill>
                        <pic:spPr>
                          <a:xfrm>
                            <a:off x="0" y="0"/>
                            <a:ext cx="2952750" cy="2238375"/>
                          </a:xfrm>
                          <a:prstGeom prst="rect">
                            <a:avLst/>
                          </a:prstGeom>
                        </pic:spPr>
                      </pic:pic>
                    </a:graphicData>
                  </a:graphic>
                </wp:inline>
              </w:drawing>
            </w:r>
          </w:p>
        </w:tc>
        <w:tc>
          <w:tcPr>
            <w:tcW w:w="3585" w:type="dxa"/>
          </w:tcPr>
          <w:p w14:paraId="50C490FA" w14:textId="1BB4BA1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1C6264BC" w14:textId="130D8CBB"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Sistemas de Arranque y Carga en Automoción.</w:t>
            </w:r>
            <w:r w:rsidRPr="3C234025">
              <w:rPr>
                <w:rFonts w:asciiTheme="minorHAnsi" w:eastAsiaTheme="minorEastAsia" w:hAnsiTheme="minorHAnsi" w:cstheme="minorBidi"/>
                <w:sz w:val="20"/>
                <w:szCs w:val="20"/>
              </w:rPr>
              <w:t xml:space="preserve"> Permitir el estudio de sistemas eléctricos de arranque y carga de vehículos. </w:t>
            </w:r>
          </w:p>
          <w:p w14:paraId="4AC4A7D1" w14:textId="19D421D2" w:rsidR="59BD4447" w:rsidRDefault="59BD4447" w:rsidP="3C234025">
            <w:pPr>
              <w:jc w:val="both"/>
              <w:rPr>
                <w:rFonts w:asciiTheme="minorHAnsi" w:eastAsiaTheme="minorEastAsia" w:hAnsiTheme="minorHAnsi" w:cstheme="minorBidi"/>
                <w:b/>
                <w:bCs/>
                <w:sz w:val="20"/>
                <w:szCs w:val="20"/>
              </w:rPr>
            </w:pPr>
          </w:p>
          <w:p w14:paraId="392ABC83" w14:textId="64EB589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0F0FD022" w14:textId="2776A21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Plataforma didáctica del sistema de arranque y carga automotriz (tipo AV-SC o equivalente). Motor de arranque real: 12 VDC, potencia nominal ≥ 1.2 kW, par de arranque ≥ 10 Nm. Alternador real: tensión de salida 13.5-14.5 VDC, corriente nominal ≥ 60 A (potencia ≈ 800 W). Regulador de voltaje electrónico integrado. Batería de plomo-ácido de referencia: 12 V / 45-60 Ah. Relé de arranque e interruptor de encendido simulado. Bornes de medición para análisis de corriente de arranque, tensión de carga y estado de batería. Medidor de batería (SOC) con display digital.</w:t>
            </w:r>
          </w:p>
        </w:tc>
      </w:tr>
      <w:tr w:rsidR="59BD4447" w14:paraId="13B78CC9" w14:textId="77777777" w:rsidTr="0BDA33FB">
        <w:trPr>
          <w:trHeight w:val="300"/>
        </w:trPr>
        <w:tc>
          <w:tcPr>
            <w:tcW w:w="615" w:type="dxa"/>
          </w:tcPr>
          <w:p w14:paraId="6F8DDE17" w14:textId="7F4553F1" w:rsidR="68FCF67D" w:rsidRDefault="68FCF67D" w:rsidP="62C29527">
            <w:r>
              <w:t>18</w:t>
            </w:r>
          </w:p>
        </w:tc>
        <w:tc>
          <w:tcPr>
            <w:tcW w:w="5550" w:type="dxa"/>
          </w:tcPr>
          <w:p w14:paraId="3A008452" w14:textId="65B846B5" w:rsidR="59BD4447" w:rsidRDefault="59BD4447" w:rsidP="68D41FDE">
            <w:r>
              <w:rPr>
                <w:noProof/>
              </w:rPr>
              <w:drawing>
                <wp:inline distT="0" distB="0" distL="0" distR="0" wp14:anchorId="076C3A68" wp14:editId="14C622E6">
                  <wp:extent cx="2952750" cy="2181225"/>
                  <wp:effectExtent l="0" t="0" r="0" b="0"/>
                  <wp:docPr id="5033833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383328" name="Picture 503383328"/>
                          <pic:cNvPicPr/>
                        </pic:nvPicPr>
                        <pic:blipFill>
                          <a:blip r:embed="rId30">
                            <a:extLst>
                              <a:ext uri="{28A0092B-C50C-407E-A947-70E740481C1C}">
                                <a14:useLocalDpi xmlns:a14="http://schemas.microsoft.com/office/drawing/2010/main"/>
                              </a:ext>
                            </a:extLst>
                          </a:blip>
                          <a:stretch>
                            <a:fillRect/>
                          </a:stretch>
                        </pic:blipFill>
                        <pic:spPr>
                          <a:xfrm>
                            <a:off x="0" y="0"/>
                            <a:ext cx="2952750" cy="2181225"/>
                          </a:xfrm>
                          <a:prstGeom prst="rect">
                            <a:avLst/>
                          </a:prstGeom>
                        </pic:spPr>
                      </pic:pic>
                    </a:graphicData>
                  </a:graphic>
                </wp:inline>
              </w:drawing>
            </w:r>
          </w:p>
        </w:tc>
        <w:tc>
          <w:tcPr>
            <w:tcW w:w="3585" w:type="dxa"/>
          </w:tcPr>
          <w:p w14:paraId="639B10AF" w14:textId="6942394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111406DB" w14:textId="7031A1E9"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Generación Eléctrica en Automoción.</w:t>
            </w:r>
            <w:r w:rsidRPr="3C234025">
              <w:rPr>
                <w:rFonts w:asciiTheme="minorHAnsi" w:eastAsiaTheme="minorEastAsia" w:hAnsiTheme="minorHAnsi" w:cstheme="minorBidi"/>
                <w:sz w:val="20"/>
                <w:szCs w:val="20"/>
              </w:rPr>
              <w:t xml:space="preserve"> Permitir el estudio de sistemas de generación eléctrica en vehículos. </w:t>
            </w:r>
          </w:p>
          <w:p w14:paraId="59B82D32" w14:textId="095DD694" w:rsidR="59BD4447" w:rsidRDefault="59BD4447" w:rsidP="3C234025">
            <w:pPr>
              <w:jc w:val="both"/>
              <w:rPr>
                <w:rFonts w:asciiTheme="minorHAnsi" w:eastAsiaTheme="minorEastAsia" w:hAnsiTheme="minorHAnsi" w:cstheme="minorBidi"/>
                <w:b/>
                <w:bCs/>
                <w:sz w:val="20"/>
                <w:szCs w:val="20"/>
              </w:rPr>
            </w:pPr>
          </w:p>
          <w:p w14:paraId="27B7C110" w14:textId="103B56B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01CB7810" w14:textId="781DC5E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didáctico de generación eléctrica automotriz (tipo AV-EG o equivalente). Alternador de vehículo real con accionamiento por motor eléctrico. Alternador: tensión de salida 13.5-14.5 VDC, corriente máxima ≥ 80 A, potencia ≈ 1000 W. Regulador de tensión electrónico de estado sólido integrado. Velocidades de prueba: 1000-6000 rpm simuladas por el motor de accionamiento. Banco de cargas variables resistivas (12V, hasta 30 A). Medición digital de tensión, corriente y potencia generada. Curva de característica tensión vs. velocidad obtenible en laboratorio.</w:t>
            </w:r>
          </w:p>
        </w:tc>
      </w:tr>
      <w:tr w:rsidR="59BD4447" w14:paraId="66BD2013" w14:textId="77777777" w:rsidTr="0BDA33FB">
        <w:trPr>
          <w:trHeight w:val="300"/>
        </w:trPr>
        <w:tc>
          <w:tcPr>
            <w:tcW w:w="615" w:type="dxa"/>
          </w:tcPr>
          <w:p w14:paraId="35A398DD" w14:textId="42179016" w:rsidR="1264BADC" w:rsidRDefault="1264BADC" w:rsidP="62C29527">
            <w:r>
              <w:t>19</w:t>
            </w:r>
          </w:p>
        </w:tc>
        <w:tc>
          <w:tcPr>
            <w:tcW w:w="5550" w:type="dxa"/>
          </w:tcPr>
          <w:p w14:paraId="565B1254" w14:textId="088370C9" w:rsidR="59BD4447" w:rsidRDefault="59BD4447" w:rsidP="68D41FDE">
            <w:r>
              <w:rPr>
                <w:noProof/>
              </w:rPr>
              <w:drawing>
                <wp:inline distT="0" distB="0" distL="0" distR="0" wp14:anchorId="3F862CAC" wp14:editId="24EE02BD">
                  <wp:extent cx="2952750" cy="1238250"/>
                  <wp:effectExtent l="0" t="0" r="0" b="0"/>
                  <wp:docPr id="101778603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86033" name="Picture 1017786033"/>
                          <pic:cNvPicPr/>
                        </pic:nvPicPr>
                        <pic:blipFill>
                          <a:blip r:embed="rId31">
                            <a:extLst>
                              <a:ext uri="{28A0092B-C50C-407E-A947-70E740481C1C}">
                                <a14:useLocalDpi xmlns:a14="http://schemas.microsoft.com/office/drawing/2010/main"/>
                              </a:ext>
                            </a:extLst>
                          </a:blip>
                          <a:stretch>
                            <a:fillRect/>
                          </a:stretch>
                        </pic:blipFill>
                        <pic:spPr>
                          <a:xfrm>
                            <a:off x="0" y="0"/>
                            <a:ext cx="2952750" cy="1238250"/>
                          </a:xfrm>
                          <a:prstGeom prst="rect">
                            <a:avLst/>
                          </a:prstGeom>
                        </pic:spPr>
                      </pic:pic>
                    </a:graphicData>
                  </a:graphic>
                </wp:inline>
              </w:drawing>
            </w:r>
          </w:p>
        </w:tc>
        <w:tc>
          <w:tcPr>
            <w:tcW w:w="3585" w:type="dxa"/>
          </w:tcPr>
          <w:p w14:paraId="560635BE" w14:textId="634FAFE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20218ACA" w14:textId="79AF6AE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Entrenador de Automóvil de Hidrógeno.</w:t>
            </w:r>
            <w:r w:rsidRPr="3C234025">
              <w:rPr>
                <w:rFonts w:asciiTheme="minorHAnsi" w:eastAsiaTheme="minorEastAsia" w:hAnsiTheme="minorHAnsi" w:cstheme="minorBidi"/>
                <w:sz w:val="20"/>
                <w:szCs w:val="20"/>
              </w:rPr>
              <w:t xml:space="preserve"> </w:t>
            </w:r>
          </w:p>
          <w:p w14:paraId="351D3AEB" w14:textId="3536DFE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estudio de tecnologías de propulsión basadas en hidrógeno. </w:t>
            </w:r>
          </w:p>
          <w:p w14:paraId="776CFAE2" w14:textId="0853CCD7" w:rsidR="59BD4447" w:rsidRDefault="59BD4447" w:rsidP="3C234025">
            <w:pPr>
              <w:jc w:val="both"/>
              <w:rPr>
                <w:rFonts w:asciiTheme="minorHAnsi" w:eastAsiaTheme="minorEastAsia" w:hAnsiTheme="minorHAnsi" w:cstheme="minorBidi"/>
                <w:b/>
                <w:bCs/>
                <w:sz w:val="20"/>
                <w:szCs w:val="20"/>
              </w:rPr>
            </w:pPr>
          </w:p>
          <w:p w14:paraId="2A7626EB" w14:textId="7267789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1C579593" w14:textId="44934665" w:rsidR="59BD4447" w:rsidRDefault="59BD4447" w:rsidP="3C234025">
            <w:pPr>
              <w:jc w:val="both"/>
              <w:rPr>
                <w:rFonts w:asciiTheme="minorHAnsi" w:eastAsiaTheme="minorEastAsia" w:hAnsiTheme="minorHAnsi" w:cstheme="minorBidi"/>
                <w:sz w:val="20"/>
                <w:szCs w:val="20"/>
              </w:rPr>
            </w:pPr>
          </w:p>
          <w:p w14:paraId="53E56B86" w14:textId="4D72ACB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Plataforma didáctica de vehículo de hidrógeno con celda de combustible PEM (Membrana de Intercambio Protónico) a escala de laboratorio. Potencia de celda de combustible: ≥ 50 W. Presión de operación de hidrógeno: ≤ 0.5 bar relativo. Electrolizador PEM incorporado para generación de hidrógeno in situ (producción ≥ 10 mL/min, alimentación ≤ 12 VDC). Monitoreo de: tensión de celda (0-15 V), corriente (0-20 A), temperatura (0-80°C) y flujo de H₂ (0-200 mL/min). Sistema de seguridad con sensor de fugas de hidrógeno (alarma ≤ 1% LEL). Motor eléctrico de tracción acoplado (≥ 50 W) con control de velocidad. Software de monitoreo y registro de variables incluido.</w:t>
            </w:r>
          </w:p>
        </w:tc>
      </w:tr>
      <w:tr w:rsidR="59BD4447" w14:paraId="0A00306E" w14:textId="77777777" w:rsidTr="0BDA33FB">
        <w:trPr>
          <w:trHeight w:val="300"/>
        </w:trPr>
        <w:tc>
          <w:tcPr>
            <w:tcW w:w="615" w:type="dxa"/>
          </w:tcPr>
          <w:p w14:paraId="54C63F86" w14:textId="2612E6A5" w:rsidR="686AD2E6" w:rsidRDefault="686AD2E6" w:rsidP="62C29527">
            <w:pPr>
              <w:jc w:val="center"/>
            </w:pPr>
            <w:r>
              <w:t>20</w:t>
            </w:r>
          </w:p>
        </w:tc>
        <w:tc>
          <w:tcPr>
            <w:tcW w:w="5550" w:type="dxa"/>
          </w:tcPr>
          <w:p w14:paraId="03B67042" w14:textId="5DFE7E23" w:rsidR="59BD4447" w:rsidRDefault="59BD4447" w:rsidP="68D41FDE">
            <w:pPr>
              <w:jc w:val="center"/>
            </w:pPr>
            <w:r>
              <w:rPr>
                <w:noProof/>
              </w:rPr>
              <w:drawing>
                <wp:inline distT="0" distB="0" distL="0" distR="0" wp14:anchorId="53949643" wp14:editId="33AED8F0">
                  <wp:extent cx="2333625" cy="2952750"/>
                  <wp:effectExtent l="0" t="0" r="0" b="0"/>
                  <wp:docPr id="3364801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80135" name="Picture 336480135"/>
                          <pic:cNvPicPr/>
                        </pic:nvPicPr>
                        <pic:blipFill>
                          <a:blip r:embed="rId32">
                            <a:extLst>
                              <a:ext uri="{28A0092B-C50C-407E-A947-70E740481C1C}">
                                <a14:useLocalDpi xmlns:a14="http://schemas.microsoft.com/office/drawing/2010/main"/>
                              </a:ext>
                            </a:extLst>
                          </a:blip>
                          <a:stretch>
                            <a:fillRect/>
                          </a:stretch>
                        </pic:blipFill>
                        <pic:spPr>
                          <a:xfrm>
                            <a:off x="0" y="0"/>
                            <a:ext cx="2333625" cy="2952750"/>
                          </a:xfrm>
                          <a:prstGeom prst="rect">
                            <a:avLst/>
                          </a:prstGeom>
                        </pic:spPr>
                      </pic:pic>
                    </a:graphicData>
                  </a:graphic>
                </wp:inline>
              </w:drawing>
            </w:r>
          </w:p>
        </w:tc>
        <w:tc>
          <w:tcPr>
            <w:tcW w:w="3585" w:type="dxa"/>
          </w:tcPr>
          <w:p w14:paraId="12F03BB5" w14:textId="19EE89D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b/>
                <w:bCs/>
                <w:sz w:val="20"/>
                <w:szCs w:val="20"/>
              </w:rPr>
              <w:t>Banco de trabajo.</w:t>
            </w:r>
            <w:r w:rsidRPr="3C234025">
              <w:rPr>
                <w:rFonts w:asciiTheme="minorHAnsi" w:eastAsiaTheme="minorEastAsia" w:hAnsiTheme="minorHAnsi" w:cstheme="minorBidi"/>
                <w:sz w:val="20"/>
                <w:szCs w:val="20"/>
              </w:rPr>
              <w:t xml:space="preserve"> </w:t>
            </w:r>
          </w:p>
          <w:p w14:paraId="5E617824" w14:textId="1740919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Proporcionar estaciones físicas para prácticas del laboratorio. </w:t>
            </w:r>
          </w:p>
          <w:p w14:paraId="0583B92F" w14:textId="06D0D9BE" w:rsidR="59BD4447" w:rsidRDefault="59BD4447" w:rsidP="3C234025">
            <w:pPr>
              <w:jc w:val="both"/>
              <w:rPr>
                <w:rFonts w:asciiTheme="minorHAnsi" w:eastAsiaTheme="minorEastAsia" w:hAnsiTheme="minorHAnsi" w:cstheme="minorBidi"/>
                <w:b/>
                <w:bCs/>
                <w:sz w:val="20"/>
                <w:szCs w:val="20"/>
              </w:rPr>
            </w:pPr>
          </w:p>
          <w:p w14:paraId="2243AD2B" w14:textId="3B5FF4E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03851EF2" w14:textId="379F189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Mesa metálica de laboratorio con superficie de melamina resistente a solventes y productos químicos. Dimensiones mínimas: 1500 × 750 × 850 mm (largo × ancho × alto). Capacidad de carga: ≥ 200 kg distribuidos uniformemente. Estructura en acero con recubrimiento anticorrosivo en polvo (RAL 7035 o similar). 4 patas con niveladores regulables ±20 mm. Incluye tomas eléctricas integradas: mínimo 2 tomas bifásicas + 4 monofásicas con protección diferencial. Ruedas con freno para desplazamiento (en versión móvil). Travesaños inferiores de refuerzo.</w:t>
            </w:r>
          </w:p>
        </w:tc>
      </w:tr>
      <w:tr w:rsidR="59BD4447" w14:paraId="2A26E62A" w14:textId="77777777" w:rsidTr="0BDA33FB">
        <w:trPr>
          <w:trHeight w:val="300"/>
        </w:trPr>
        <w:tc>
          <w:tcPr>
            <w:tcW w:w="615" w:type="dxa"/>
          </w:tcPr>
          <w:p w14:paraId="05C9D5CF" w14:textId="2DF823A6" w:rsidR="697A689E" w:rsidRDefault="697A689E" w:rsidP="62C29527">
            <w:pPr>
              <w:jc w:val="center"/>
            </w:pPr>
            <w:r>
              <w:t>21</w:t>
            </w:r>
          </w:p>
        </w:tc>
        <w:tc>
          <w:tcPr>
            <w:tcW w:w="5550" w:type="dxa"/>
          </w:tcPr>
          <w:p w14:paraId="48E81643" w14:textId="6D6357AC" w:rsidR="59BD4447" w:rsidRDefault="59BD4447" w:rsidP="68D41FDE">
            <w:pPr>
              <w:jc w:val="center"/>
            </w:pPr>
            <w:r>
              <w:rPr>
                <w:noProof/>
              </w:rPr>
              <w:drawing>
                <wp:inline distT="0" distB="0" distL="0" distR="0" wp14:anchorId="7632D34A" wp14:editId="69A93F2F">
                  <wp:extent cx="2952750" cy="2876550"/>
                  <wp:effectExtent l="0" t="0" r="0" b="0"/>
                  <wp:docPr id="13347575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57599" name="Picture 1334757599"/>
                          <pic:cNvPicPr/>
                        </pic:nvPicPr>
                        <pic:blipFill>
                          <a:blip r:embed="rId33">
                            <a:extLst>
                              <a:ext uri="{28A0092B-C50C-407E-A947-70E740481C1C}">
                                <a14:useLocalDpi xmlns:a14="http://schemas.microsoft.com/office/drawing/2010/main"/>
                              </a:ext>
                            </a:extLst>
                          </a:blip>
                          <a:stretch>
                            <a:fillRect/>
                          </a:stretch>
                        </pic:blipFill>
                        <pic:spPr>
                          <a:xfrm>
                            <a:off x="0" y="0"/>
                            <a:ext cx="2952750" cy="2876550"/>
                          </a:xfrm>
                          <a:prstGeom prst="rect">
                            <a:avLst/>
                          </a:prstGeom>
                        </pic:spPr>
                      </pic:pic>
                    </a:graphicData>
                  </a:graphic>
                </wp:inline>
              </w:drawing>
            </w:r>
          </w:p>
        </w:tc>
        <w:tc>
          <w:tcPr>
            <w:tcW w:w="3585" w:type="dxa"/>
          </w:tcPr>
          <w:p w14:paraId="7FA66C83" w14:textId="44F5B2F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b/>
                <w:bCs/>
                <w:sz w:val="20"/>
                <w:szCs w:val="20"/>
              </w:rPr>
              <w:t>Armario.</w:t>
            </w:r>
            <w:r w:rsidRPr="3C234025">
              <w:rPr>
                <w:rFonts w:asciiTheme="minorHAnsi" w:eastAsiaTheme="minorEastAsia" w:hAnsiTheme="minorHAnsi" w:cstheme="minorBidi"/>
                <w:sz w:val="20"/>
                <w:szCs w:val="20"/>
              </w:rPr>
              <w:t xml:space="preserve"> </w:t>
            </w:r>
          </w:p>
          <w:p w14:paraId="47792D01" w14:textId="4869A6A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almacenamiento seguro de equipos y herramientas del laboratorio. </w:t>
            </w:r>
          </w:p>
          <w:p w14:paraId="2B239050" w14:textId="6BF63041" w:rsidR="59BD4447" w:rsidRDefault="59BD4447" w:rsidP="3C234025">
            <w:pPr>
              <w:jc w:val="both"/>
              <w:rPr>
                <w:rFonts w:asciiTheme="minorHAnsi" w:eastAsiaTheme="minorEastAsia" w:hAnsiTheme="minorHAnsi" w:cstheme="minorBidi"/>
                <w:b/>
                <w:bCs/>
                <w:sz w:val="20"/>
                <w:szCs w:val="20"/>
              </w:rPr>
            </w:pPr>
          </w:p>
          <w:p w14:paraId="565207A0" w14:textId="63CF7B8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106178E0" w14:textId="320155A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Armario metálico de acero con cierre bajo llave (2 llaves incluidas). Dimensiones mínimas: 1800 × 900 × 450 mm (alto × ancho × fondo). Mínimo 3 estantes interiores regulables en altura (rango de paso 32 mm). Acabado en pintura epóxica al horno, RAL 7035 o similar, resistente a impactos y solventes. Carga máxima por estante: ≥ 50 kg. Estructura de chapa de acero calibre 18 (≥ 1.2 mm de espesor). Puertas con bisagras ocultas y cierre con llave de seguridad.</w:t>
            </w:r>
          </w:p>
        </w:tc>
      </w:tr>
      <w:tr w:rsidR="59BD4447" w14:paraId="217ECEFF" w14:textId="77777777" w:rsidTr="0BDA33FB">
        <w:trPr>
          <w:trHeight w:val="300"/>
        </w:trPr>
        <w:tc>
          <w:tcPr>
            <w:tcW w:w="615" w:type="dxa"/>
          </w:tcPr>
          <w:p w14:paraId="299FCC47" w14:textId="06A9F43E" w:rsidR="2A04EDDC" w:rsidRDefault="2A04EDDC" w:rsidP="62C29527">
            <w:r>
              <w:t>22</w:t>
            </w:r>
          </w:p>
        </w:tc>
        <w:tc>
          <w:tcPr>
            <w:tcW w:w="5550" w:type="dxa"/>
          </w:tcPr>
          <w:p w14:paraId="73064DD4" w14:textId="3E142B4D" w:rsidR="59BD4447" w:rsidRDefault="59BD4447" w:rsidP="68D41FDE">
            <w:r>
              <w:rPr>
                <w:noProof/>
              </w:rPr>
              <w:drawing>
                <wp:inline distT="0" distB="0" distL="0" distR="0" wp14:anchorId="3A503CB4" wp14:editId="5277B3D1">
                  <wp:extent cx="2952750" cy="1000125"/>
                  <wp:effectExtent l="0" t="0" r="0" b="0"/>
                  <wp:docPr id="10186044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604496" name="Picture 1018604496"/>
                          <pic:cNvPicPr/>
                        </pic:nvPicPr>
                        <pic:blipFill>
                          <a:blip r:embed="rId34">
                            <a:extLst>
                              <a:ext uri="{28A0092B-C50C-407E-A947-70E740481C1C}">
                                <a14:useLocalDpi xmlns:a14="http://schemas.microsoft.com/office/drawing/2010/main"/>
                              </a:ext>
                            </a:extLst>
                          </a:blip>
                          <a:stretch>
                            <a:fillRect/>
                          </a:stretch>
                        </pic:blipFill>
                        <pic:spPr>
                          <a:xfrm>
                            <a:off x="0" y="0"/>
                            <a:ext cx="2952750" cy="1000125"/>
                          </a:xfrm>
                          <a:prstGeom prst="rect">
                            <a:avLst/>
                          </a:prstGeom>
                        </pic:spPr>
                      </pic:pic>
                    </a:graphicData>
                  </a:graphic>
                </wp:inline>
              </w:drawing>
            </w:r>
          </w:p>
        </w:tc>
        <w:tc>
          <w:tcPr>
            <w:tcW w:w="3585" w:type="dxa"/>
          </w:tcPr>
          <w:p w14:paraId="71EA5032" w14:textId="5167144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6D474EDC" w14:textId="199A36A9"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Kit de herramientas de trabajo.</w:t>
            </w:r>
            <w:r w:rsidRPr="3C234025">
              <w:rPr>
                <w:rFonts w:asciiTheme="minorHAnsi" w:eastAsiaTheme="minorEastAsia" w:hAnsiTheme="minorHAnsi" w:cstheme="minorBidi"/>
                <w:sz w:val="20"/>
                <w:szCs w:val="20"/>
              </w:rPr>
              <w:t xml:space="preserve"> </w:t>
            </w:r>
          </w:p>
          <w:p w14:paraId="06881E57" w14:textId="406FC02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montaje y mantenimiento de equipos automotrices. </w:t>
            </w:r>
          </w:p>
          <w:p w14:paraId="77F76201" w14:textId="17B207D3" w:rsidR="59BD4447" w:rsidRDefault="59BD4447" w:rsidP="3C234025">
            <w:pPr>
              <w:jc w:val="both"/>
              <w:rPr>
                <w:rFonts w:asciiTheme="minorHAnsi" w:eastAsiaTheme="minorEastAsia" w:hAnsiTheme="minorHAnsi" w:cstheme="minorBidi"/>
                <w:b/>
                <w:bCs/>
                <w:sz w:val="20"/>
                <w:szCs w:val="20"/>
              </w:rPr>
            </w:pPr>
          </w:p>
          <w:p w14:paraId="22F6C1A7" w14:textId="221A07A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73C09C22" w14:textId="6DBBA26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Kit de herramientas mecánicas y eléctricas automotrices para prácticas de laboratorio. Incluye: juego de destornilladores dieléctricos planos y Phillips (6 piezas, longitud 100-200 mm), pinza de punta, de corte lateral y universal (3 piezas, longitud 160-200 mm), llaves combinadas de boca y estrella (juego 8-19 mm, 8 piezas), llave de torque 1/4" (5-25 Nm), pelacables automático para conductores 0.2-6 mm², crimpadora para terminales de automoción (tipos AMP, Faston), extractor e insertador de fusibles ATO/mini, probador de circuitos automotriz 6-24 VDC. Caja organizadora con compartimentos etiquetados.</w:t>
            </w:r>
          </w:p>
        </w:tc>
      </w:tr>
      <w:tr w:rsidR="59BD4447" w14:paraId="2AA87598" w14:textId="77777777" w:rsidTr="0BDA33FB">
        <w:trPr>
          <w:trHeight w:val="300"/>
        </w:trPr>
        <w:tc>
          <w:tcPr>
            <w:tcW w:w="615" w:type="dxa"/>
          </w:tcPr>
          <w:p w14:paraId="5644AD74" w14:textId="14997DAC" w:rsidR="3EBD4BE8" w:rsidRDefault="3EBD4BE8" w:rsidP="62C29527">
            <w:r>
              <w:t>23</w:t>
            </w:r>
          </w:p>
        </w:tc>
        <w:tc>
          <w:tcPr>
            <w:tcW w:w="5550" w:type="dxa"/>
          </w:tcPr>
          <w:p w14:paraId="185A886E" w14:textId="54B99270" w:rsidR="59BD4447" w:rsidRDefault="59BD4447" w:rsidP="68D41FDE">
            <w:r>
              <w:rPr>
                <w:noProof/>
              </w:rPr>
              <w:drawing>
                <wp:inline distT="0" distB="0" distL="0" distR="0" wp14:anchorId="66309330" wp14:editId="045DAE3F">
                  <wp:extent cx="2915057" cy="2019582"/>
                  <wp:effectExtent l="0" t="0" r="0" b="0"/>
                  <wp:docPr id="20416376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637638" name="Picture 2041637638"/>
                          <pic:cNvPicPr/>
                        </pic:nvPicPr>
                        <pic:blipFill>
                          <a:blip r:embed="rId35">
                            <a:extLst>
                              <a:ext uri="{28A0092B-C50C-407E-A947-70E740481C1C}">
                                <a14:useLocalDpi xmlns:a14="http://schemas.microsoft.com/office/drawing/2010/main"/>
                              </a:ext>
                            </a:extLst>
                          </a:blip>
                          <a:stretch>
                            <a:fillRect/>
                          </a:stretch>
                        </pic:blipFill>
                        <pic:spPr>
                          <a:xfrm>
                            <a:off x="0" y="0"/>
                            <a:ext cx="2915057" cy="2019582"/>
                          </a:xfrm>
                          <a:prstGeom prst="rect">
                            <a:avLst/>
                          </a:prstGeom>
                        </pic:spPr>
                      </pic:pic>
                    </a:graphicData>
                  </a:graphic>
                </wp:inline>
              </w:drawing>
            </w:r>
          </w:p>
        </w:tc>
        <w:tc>
          <w:tcPr>
            <w:tcW w:w="3585" w:type="dxa"/>
          </w:tcPr>
          <w:p w14:paraId="3D0BF446" w14:textId="04FF7E9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5F7DA456" w14:textId="2E99EAC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Scanner Automotriz.</w:t>
            </w:r>
            <w:r w:rsidRPr="3C234025">
              <w:rPr>
                <w:rFonts w:asciiTheme="minorHAnsi" w:eastAsiaTheme="minorEastAsia" w:hAnsiTheme="minorHAnsi" w:cstheme="minorBidi"/>
                <w:sz w:val="20"/>
                <w:szCs w:val="20"/>
              </w:rPr>
              <w:t xml:space="preserve"> </w:t>
            </w:r>
          </w:p>
          <w:p w14:paraId="20AD2436" w14:textId="12CC247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diagnóstico electrónico de sistemas de vehículos. </w:t>
            </w:r>
          </w:p>
          <w:p w14:paraId="326FFE07" w14:textId="676A470C" w:rsidR="59BD4447" w:rsidRDefault="59BD4447" w:rsidP="3C234025">
            <w:pPr>
              <w:jc w:val="both"/>
              <w:rPr>
                <w:rFonts w:asciiTheme="minorHAnsi" w:eastAsiaTheme="minorEastAsia" w:hAnsiTheme="minorHAnsi" w:cstheme="minorBidi"/>
                <w:b/>
                <w:bCs/>
                <w:sz w:val="20"/>
                <w:szCs w:val="20"/>
              </w:rPr>
            </w:pPr>
          </w:p>
          <w:p w14:paraId="2E7510D7" w14:textId="21F44A2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2AF27987" w14:textId="165F963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Escáner automotriz multimarca para diagnóstico electrónico. Protocolos OBD-II compatibles: CAN (ISO 15765), KWP2000 (ISO 14230), ISO 9141-2, SAE J1850 VPW y SAE J1850 PWM. Pantalla a color ≥ 3.5 pulgadas con interfaz gráfica intuitiva. Funciones mínimas: lectura y borrado de códigos de falla (DTC) de motor, transmisión, ABS y airbag; visualización de datos PID en tiempo real (≥ 20 parámetros); actuaciones y pruebas de componentes; reseteo de servicio y mantenimiento. Actualizable vía USB o WiFi. Batería recargable interna (≥ 3000 mAh) o alimentación por puerto OBD. Cobertura multimarca: europeo, americano y asiático.</w:t>
            </w:r>
          </w:p>
        </w:tc>
      </w:tr>
      <w:tr w:rsidR="59BD4447" w14:paraId="4773087D" w14:textId="77777777" w:rsidTr="0BDA33FB">
        <w:trPr>
          <w:trHeight w:val="300"/>
        </w:trPr>
        <w:tc>
          <w:tcPr>
            <w:tcW w:w="615" w:type="dxa"/>
          </w:tcPr>
          <w:p w14:paraId="2D3E8969" w14:textId="20BEDFBC" w:rsidR="4BB45602" w:rsidRDefault="4BB45602" w:rsidP="62C29527">
            <w:pPr>
              <w:jc w:val="center"/>
            </w:pPr>
            <w:r>
              <w:t>24</w:t>
            </w:r>
          </w:p>
        </w:tc>
        <w:tc>
          <w:tcPr>
            <w:tcW w:w="5550" w:type="dxa"/>
          </w:tcPr>
          <w:p w14:paraId="21F3A82F" w14:textId="0A77CC2F" w:rsidR="59BD4447" w:rsidRDefault="59BD4447" w:rsidP="68D41FDE">
            <w:pPr>
              <w:jc w:val="center"/>
            </w:pPr>
            <w:r>
              <w:rPr>
                <w:noProof/>
              </w:rPr>
              <w:drawing>
                <wp:inline distT="0" distB="0" distL="0" distR="0" wp14:anchorId="60C5AD93" wp14:editId="2EBA9284">
                  <wp:extent cx="2381582" cy="1257475"/>
                  <wp:effectExtent l="0" t="0" r="0" b="0"/>
                  <wp:docPr id="1289160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6005" name="Picture 128916005"/>
                          <pic:cNvPicPr/>
                        </pic:nvPicPr>
                        <pic:blipFill>
                          <a:blip r:embed="rId36">
                            <a:extLst>
                              <a:ext uri="{28A0092B-C50C-407E-A947-70E740481C1C}">
                                <a14:useLocalDpi xmlns:a14="http://schemas.microsoft.com/office/drawing/2010/main"/>
                              </a:ext>
                            </a:extLst>
                          </a:blip>
                          <a:stretch>
                            <a:fillRect/>
                          </a:stretch>
                        </pic:blipFill>
                        <pic:spPr>
                          <a:xfrm>
                            <a:off x="0" y="0"/>
                            <a:ext cx="2381582" cy="1257475"/>
                          </a:xfrm>
                          <a:prstGeom prst="rect">
                            <a:avLst/>
                          </a:prstGeom>
                        </pic:spPr>
                      </pic:pic>
                    </a:graphicData>
                  </a:graphic>
                </wp:inline>
              </w:drawing>
            </w:r>
          </w:p>
        </w:tc>
        <w:tc>
          <w:tcPr>
            <w:tcW w:w="3585" w:type="dxa"/>
          </w:tcPr>
          <w:p w14:paraId="0C2DDCF9" w14:textId="725439D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b/>
                <w:bCs/>
                <w:sz w:val="20"/>
                <w:szCs w:val="20"/>
              </w:rPr>
              <w:t>Equipos de medición.</w:t>
            </w:r>
            <w:r w:rsidRPr="3C234025">
              <w:rPr>
                <w:rFonts w:asciiTheme="minorHAnsi" w:eastAsiaTheme="minorEastAsia" w:hAnsiTheme="minorHAnsi" w:cstheme="minorBidi"/>
                <w:sz w:val="20"/>
                <w:szCs w:val="20"/>
              </w:rPr>
              <w:t xml:space="preserve"> </w:t>
            </w:r>
          </w:p>
          <w:p w14:paraId="175919FE" w14:textId="614806D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Permitir diagnóstico eléctrico y medición de variables.</w:t>
            </w:r>
          </w:p>
          <w:p w14:paraId="478D13B9" w14:textId="0DB6A60D" w:rsidR="59BD4447" w:rsidRDefault="59BD4447" w:rsidP="3C234025">
            <w:pPr>
              <w:jc w:val="both"/>
              <w:rPr>
                <w:rFonts w:asciiTheme="minorHAnsi" w:eastAsiaTheme="minorEastAsia" w:hAnsiTheme="minorHAnsi" w:cstheme="minorBidi"/>
                <w:sz w:val="20"/>
                <w:szCs w:val="20"/>
              </w:rPr>
            </w:pPr>
          </w:p>
          <w:p w14:paraId="03C7BAE2" w14:textId="1767D02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4F4DFC67" w14:textId="060075B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Equipos de medición para laboratorio eólico. Multímetro TRMS: rango VDC 60 mV-1000 V, VAC hasta 750 V, corriente DC/AC hasta 10 A, resistencia hasta 220 MΩ, frecuencia hasta 10 MHz. Pinza amperimétrica AC/DC: corriente AC hasta 600 A, tensión DC/AC hasta 600 V. Osciloscopio digital: ancho de banda ≥ 100 MHz, 2 canales, velocidad de muestreo ≥ 1 GSa/s, pantalla LCD, medición de Vpp, Vrms, frecuencia y duty cycle. Cámara termográfica infrarroja: rango -20°C a 400°C, resolución ≥ 120×90 píxeles, sensibilidad térmica (NETD) ≤ 150 mK, pantalla LCD integrada.</w:t>
            </w:r>
          </w:p>
        </w:tc>
      </w:tr>
      <w:tr w:rsidR="59BD4447" w14:paraId="0EF21E1C" w14:textId="77777777" w:rsidTr="0BDA33FB">
        <w:trPr>
          <w:trHeight w:val="300"/>
        </w:trPr>
        <w:tc>
          <w:tcPr>
            <w:tcW w:w="615" w:type="dxa"/>
          </w:tcPr>
          <w:p w14:paraId="6C67280E" w14:textId="7A0B51A8" w:rsidR="4BB45602" w:rsidRDefault="4BB45602" w:rsidP="62C29527">
            <w:r>
              <w:t>25</w:t>
            </w:r>
          </w:p>
        </w:tc>
        <w:tc>
          <w:tcPr>
            <w:tcW w:w="5550" w:type="dxa"/>
          </w:tcPr>
          <w:p w14:paraId="5F3D7D6B" w14:textId="2F1304E3" w:rsidR="5C4E3398" w:rsidRDefault="5C4E3398">
            <w:r>
              <w:rPr>
                <w:noProof/>
              </w:rPr>
              <w:drawing>
                <wp:inline distT="0" distB="0" distL="0" distR="0" wp14:anchorId="3616612C" wp14:editId="2CA9A2C5">
                  <wp:extent cx="3390900" cy="2609850"/>
                  <wp:effectExtent l="0" t="0" r="0" b="0"/>
                  <wp:docPr id="571245234" name="drawing" descr="Laptop PNG Transparent Images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14616" name="Picture 1740514616"/>
                          <pic:cNvPicPr/>
                        </pic:nvPicPr>
                        <pic:blipFill>
                          <a:blip r:embed="rId37">
                            <a:extLst>
                              <a:ext uri="{28A0092B-C50C-407E-A947-70E740481C1C}">
                                <a14:useLocalDpi xmlns:a14="http://schemas.microsoft.com/office/drawing/2010/main"/>
                              </a:ext>
                            </a:extLst>
                          </a:blip>
                          <a:stretch>
                            <a:fillRect/>
                          </a:stretch>
                        </pic:blipFill>
                        <pic:spPr>
                          <a:xfrm>
                            <a:off x="0" y="0"/>
                            <a:ext cx="3390900" cy="2609850"/>
                          </a:xfrm>
                          <a:prstGeom prst="rect">
                            <a:avLst/>
                          </a:prstGeom>
                        </pic:spPr>
                      </pic:pic>
                    </a:graphicData>
                  </a:graphic>
                </wp:inline>
              </w:drawing>
            </w:r>
          </w:p>
        </w:tc>
        <w:tc>
          <w:tcPr>
            <w:tcW w:w="3585" w:type="dxa"/>
          </w:tcPr>
          <w:p w14:paraId="6A5C7AD6" w14:textId="39C6B9FA" w:rsidR="5C4E3398" w:rsidRDefault="31997B0B"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r w:rsidR="5C4E3398">
              <w:br/>
            </w:r>
            <w:r w:rsidRPr="3C234025">
              <w:rPr>
                <w:rFonts w:asciiTheme="minorHAnsi" w:eastAsiaTheme="minorEastAsia" w:hAnsiTheme="minorHAnsi" w:cstheme="minorBidi"/>
                <w:b/>
                <w:bCs/>
                <w:sz w:val="20"/>
                <w:szCs w:val="20"/>
              </w:rPr>
              <w:t>Computadores portátiles.</w:t>
            </w:r>
            <w:r w:rsidRPr="3C234025">
              <w:rPr>
                <w:rFonts w:asciiTheme="minorHAnsi" w:eastAsiaTheme="minorEastAsia" w:hAnsiTheme="minorHAnsi" w:cstheme="minorBidi"/>
                <w:sz w:val="20"/>
                <w:szCs w:val="20"/>
              </w:rPr>
              <w:t xml:space="preserve"> Permitir control y monitoreo de sistemas didácticos. </w:t>
            </w:r>
            <w:r w:rsidR="5C4E3398">
              <w:br/>
            </w:r>
            <w:r w:rsidR="5C4E3398">
              <w:br/>
            </w: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r w:rsidR="5C4E3398">
              <w:br/>
            </w:r>
            <w:r w:rsidRPr="3C234025">
              <w:rPr>
                <w:rFonts w:asciiTheme="minorHAnsi" w:eastAsiaTheme="minorEastAsia" w:hAnsiTheme="minorHAnsi" w:cstheme="minorBidi"/>
                <w:sz w:val="20"/>
                <w:szCs w:val="20"/>
              </w:rPr>
              <w:t>Computadores portátiles para control y monitoreo del laboratorio eólico. Procesador equivalente Intel Core i5 de 11a generación o superior (≥ 2.4 GHz). Memoria RAM: ≥ 8 GB DDR4. Almacenamiento SSD: ≥ 256 GB. Pantalla: ≥ 14 pulgadas, resolución Full HD (1920×1080). Sistema operativo: Windows 10/11 Pro. Puertos: USB 3.0 ≥ 3 unidades, USB-C/Thunderbolt, HDMI. Tarjeta de red WiFi 802.11ac y Ethernet Gigabit. Compatible con software SCADA y LabVIEW. Batería: autonomía ≥ 6 horas.</w:t>
            </w:r>
          </w:p>
        </w:tc>
      </w:tr>
    </w:tbl>
    <w:p w14:paraId="55C5A299" w14:textId="01DAF148" w:rsidR="59BD4447" w:rsidRDefault="59BD4447" w:rsidP="59BD4447">
      <w:pPr>
        <w:spacing w:line="259" w:lineRule="auto"/>
        <w:jc w:val="both"/>
        <w:rPr>
          <w:rFonts w:asciiTheme="minorHAnsi" w:eastAsiaTheme="minorEastAsia" w:hAnsiTheme="minorHAnsi" w:cstheme="minorBidi"/>
          <w:b/>
          <w:bCs/>
          <w:sz w:val="20"/>
          <w:szCs w:val="20"/>
        </w:rPr>
      </w:pPr>
    </w:p>
    <w:p w14:paraId="0266CEDF" w14:textId="59D44381" w:rsidR="1B7859B1" w:rsidRPr="00101989" w:rsidRDefault="176B592F" w:rsidP="59BD4447">
      <w:pPr>
        <w:jc w:val="both"/>
        <w:rPr>
          <w:rFonts w:asciiTheme="minorHAnsi" w:eastAsiaTheme="minorEastAsia" w:hAnsiTheme="minorHAnsi" w:cstheme="minorBidi"/>
          <w:sz w:val="20"/>
          <w:szCs w:val="20"/>
        </w:rPr>
      </w:pPr>
      <w:r w:rsidRPr="62C29527">
        <w:rPr>
          <w:rFonts w:asciiTheme="minorHAnsi" w:eastAsiaTheme="minorEastAsia" w:hAnsiTheme="minorHAnsi" w:cstheme="minorBidi"/>
          <w:b/>
          <w:bCs/>
          <w:sz w:val="20"/>
          <w:szCs w:val="20"/>
        </w:rPr>
        <w:t xml:space="preserve">Nota: </w:t>
      </w:r>
      <w:r w:rsidRPr="62C29527">
        <w:rPr>
          <w:rFonts w:asciiTheme="minorHAnsi" w:eastAsiaTheme="minorEastAsia" w:hAnsiTheme="minorHAnsi" w:cstheme="minorBidi"/>
          <w:sz w:val="20"/>
          <w:szCs w:val="20"/>
        </w:rPr>
        <w:t>Las imágenes de la tabla son de referencia.</w:t>
      </w:r>
    </w:p>
    <w:p w14:paraId="1B9BD278" w14:textId="374A3263" w:rsidR="6A619CCF" w:rsidRPr="00101989" w:rsidRDefault="6A619CCF" w:rsidP="4FD9DD9D">
      <w:pPr>
        <w:rPr>
          <w:rFonts w:asciiTheme="minorHAnsi" w:eastAsiaTheme="minorEastAsia" w:hAnsiTheme="minorHAnsi" w:cstheme="minorBidi"/>
          <w:sz w:val="20"/>
          <w:szCs w:val="20"/>
        </w:rPr>
      </w:pPr>
    </w:p>
    <w:p w14:paraId="63F73B25" w14:textId="48D5023C" w:rsidR="500B9525" w:rsidRDefault="500B9525" w:rsidP="4FD9DD9D">
      <w:pPr>
        <w:jc w:val="both"/>
        <w:rPr>
          <w:rFonts w:asciiTheme="minorHAnsi" w:eastAsiaTheme="minorEastAsia" w:hAnsiTheme="minorHAnsi" w:cstheme="minorBidi"/>
          <w:b/>
          <w:bCs/>
          <w:sz w:val="20"/>
          <w:szCs w:val="20"/>
        </w:rPr>
      </w:pPr>
      <w:r>
        <w:rPr>
          <w:rFonts w:asciiTheme="minorHAnsi" w:eastAsiaTheme="minorEastAsia" w:hAnsiTheme="minorHAnsi" w:cstheme="minorBidi"/>
          <w:b/>
          <w:bCs/>
          <w:sz w:val="20"/>
          <w:szCs w:val="20"/>
          <w:lang w:val="es-CO"/>
        </w:rPr>
        <w:t>Laboratorio Solar:</w:t>
      </w:r>
    </w:p>
    <w:p w14:paraId="4DF83B4F" w14:textId="2AEBA267" w:rsidR="4FD9DD9D" w:rsidRDefault="4FD9DD9D" w:rsidP="4FD9DD9D">
      <w:pPr>
        <w:jc w:val="both"/>
        <w:rPr>
          <w:rFonts w:asciiTheme="minorHAnsi" w:eastAsiaTheme="minorEastAsia" w:hAnsiTheme="minorHAnsi" w:cstheme="minorBidi"/>
          <w:sz w:val="20"/>
          <w:szCs w:val="20"/>
        </w:rPr>
      </w:pPr>
    </w:p>
    <w:p w14:paraId="4F7A09A4" w14:textId="2939DB40" w:rsidR="500B9525" w:rsidRDefault="5B5C224C" w:rsidP="3255A9B4">
      <w:pPr>
        <w:jc w:val="both"/>
        <w:rPr>
          <w:rFonts w:asciiTheme="minorHAnsi" w:eastAsiaTheme="minorEastAsia" w:hAnsiTheme="minorHAnsi" w:cstheme="minorBidi"/>
          <w:sz w:val="20"/>
          <w:szCs w:val="20"/>
          <w:lang w:val="es-CO"/>
        </w:rPr>
      </w:pPr>
      <w:r w:rsidRPr="3255A9B4">
        <w:rPr>
          <w:rFonts w:asciiTheme="minorHAnsi" w:eastAsiaTheme="minorEastAsia" w:hAnsiTheme="minorHAnsi" w:cstheme="minorBidi"/>
          <w:sz w:val="20"/>
          <w:szCs w:val="20"/>
          <w:lang w:val="es-CO"/>
        </w:rPr>
        <w:t>Se propone un laboratorio de energía solar con los siguientes equipos y características:</w:t>
      </w:r>
    </w:p>
    <w:p w14:paraId="358A38C9" w14:textId="672B256F" w:rsidR="4FD9DD9D" w:rsidRDefault="4FD9DD9D" w:rsidP="4FD9DD9D">
      <w:pPr>
        <w:rPr>
          <w:rFonts w:asciiTheme="minorHAnsi" w:eastAsiaTheme="minorEastAsia" w:hAnsiTheme="minorHAnsi" w:cstheme="minorBidi"/>
          <w:sz w:val="20"/>
          <w:szCs w:val="20"/>
          <w:lang w:val="es-CO"/>
        </w:rPr>
      </w:pPr>
    </w:p>
    <w:p w14:paraId="7470E304" w14:textId="7B2EDB18" w:rsidR="500B9525" w:rsidRDefault="500B9525" w:rsidP="4FD9DD9D">
      <w:pPr>
        <w:jc w:val="center"/>
        <w:rPr>
          <w:rFonts w:asciiTheme="minorHAnsi" w:eastAsiaTheme="minorEastAsia" w:hAnsiTheme="minorHAnsi" w:cstheme="minorBidi"/>
          <w:sz w:val="20"/>
          <w:szCs w:val="20"/>
          <w:lang w:val="es-CO"/>
        </w:rPr>
      </w:pPr>
      <w:r>
        <w:rPr>
          <w:rFonts w:asciiTheme="minorHAnsi" w:eastAsiaTheme="minorEastAsia" w:hAnsiTheme="minorHAnsi" w:cstheme="minorBidi"/>
          <w:i/>
          <w:iCs/>
          <w:sz w:val="20"/>
          <w:szCs w:val="20"/>
          <w:lang w:val="es-CO"/>
        </w:rPr>
        <w:t xml:space="preserve">Tabla </w:t>
      </w:r>
      <w:r>
        <w:rPr>
          <w:rFonts w:asciiTheme="minorHAnsi" w:eastAsiaTheme="minorEastAsia" w:hAnsiTheme="minorHAnsi" w:cstheme="minorBidi"/>
          <w:i/>
          <w:iCs/>
          <w:sz w:val="20"/>
          <w:szCs w:val="20"/>
          <w:lang w:val="es-CO"/>
        </w:rPr>
        <w:fldChar w:fldCharType="begin"/>
      </w:r>
      <w:r>
        <w:rPr>
          <w:rFonts w:asciiTheme="minorHAnsi" w:eastAsiaTheme="minorEastAsia" w:hAnsiTheme="minorHAnsi" w:cstheme="minorBidi"/>
          <w:i/>
          <w:iCs/>
          <w:sz w:val="20"/>
          <w:szCs w:val="20"/>
          <w:lang w:val="es-CO"/>
        </w:rPr>
        <w:instrText xml:space="preserve"> SEQ Tabla \* ARABIC </w:instrText>
      </w:r>
      <w:r>
        <w:rPr>
          <w:rFonts w:asciiTheme="minorHAnsi" w:eastAsiaTheme="minorEastAsia" w:hAnsiTheme="minorHAnsi" w:cstheme="minorBidi"/>
          <w:i/>
          <w:iCs/>
          <w:sz w:val="20"/>
          <w:szCs w:val="20"/>
          <w:lang w:val="es-CO"/>
        </w:rPr>
        <w:fldChar w:fldCharType="separate"/>
      </w:r>
      <w:r>
        <w:rPr>
          <w:rFonts w:asciiTheme="minorHAnsi" w:eastAsiaTheme="minorEastAsia" w:hAnsiTheme="minorHAnsi" w:cstheme="minorBidi"/>
          <w:i/>
          <w:iCs/>
          <w:sz w:val="20"/>
          <w:szCs w:val="20"/>
          <w:lang w:val="es-CO"/>
        </w:rPr>
        <w:t>2</w:t>
      </w:r>
      <w:r>
        <w:rPr>
          <w:rFonts w:asciiTheme="minorHAnsi" w:eastAsiaTheme="minorEastAsia" w:hAnsiTheme="minorHAnsi" w:cstheme="minorBidi"/>
          <w:i/>
          <w:iCs/>
          <w:sz w:val="20"/>
          <w:szCs w:val="20"/>
          <w:lang w:val="es-CO"/>
        </w:rPr>
        <w:fldChar w:fldCharType="end"/>
      </w:r>
      <w:r>
        <w:rPr>
          <w:rFonts w:asciiTheme="minorHAnsi" w:eastAsiaTheme="minorEastAsia" w:hAnsiTheme="minorHAnsi" w:cstheme="minorBidi"/>
          <w:i/>
          <w:iCs/>
          <w:sz w:val="20"/>
          <w:szCs w:val="20"/>
          <w:lang w:val="es-CO"/>
        </w:rPr>
        <w:t>.</w:t>
      </w:r>
      <w:r>
        <w:rPr>
          <w:rFonts w:asciiTheme="minorHAnsi" w:eastAsiaTheme="minorEastAsia" w:hAnsiTheme="minorHAnsi" w:cstheme="minorBidi"/>
          <w:sz w:val="20"/>
          <w:szCs w:val="20"/>
          <w:lang w:val="es-CO"/>
        </w:rPr>
        <w:t xml:space="preserve"> Laboratorio solar</w:t>
      </w:r>
    </w:p>
    <w:tbl>
      <w:tblPr>
        <w:tblStyle w:val="Tablaconcuadrcula"/>
        <w:tblW w:w="9750" w:type="dxa"/>
        <w:tblLook w:val="06A0" w:firstRow="1" w:lastRow="0" w:firstColumn="1" w:lastColumn="0" w:noHBand="1" w:noVBand="1"/>
      </w:tblPr>
      <w:tblGrid>
        <w:gridCol w:w="630"/>
        <w:gridCol w:w="5167"/>
        <w:gridCol w:w="3953"/>
      </w:tblGrid>
      <w:tr w:rsidR="59BD4447" w14:paraId="31D2ED34" w14:textId="77777777" w:rsidTr="6F1EDA97">
        <w:trPr>
          <w:trHeight w:val="300"/>
        </w:trPr>
        <w:tc>
          <w:tcPr>
            <w:tcW w:w="630" w:type="dxa"/>
            <w:shd w:val="clear" w:color="auto" w:fill="002060"/>
          </w:tcPr>
          <w:p w14:paraId="2F03A4AE" w14:textId="281BB937" w:rsidR="6348AAD9" w:rsidRDefault="6348AAD9" w:rsidP="62C29527">
            <w:pPr>
              <w:spacing w:line="259" w:lineRule="auto"/>
              <w:jc w:val="center"/>
              <w:rPr>
                <w:rFonts w:asciiTheme="minorHAnsi" w:eastAsiaTheme="minorEastAsia" w:hAnsiTheme="minorHAnsi" w:cstheme="minorBidi"/>
                <w:b/>
                <w:bCs/>
                <w:color w:val="FFFFFF" w:themeColor="background1"/>
                <w:sz w:val="20"/>
                <w:szCs w:val="20"/>
              </w:rPr>
            </w:pPr>
            <w:r w:rsidRPr="62C29527">
              <w:rPr>
                <w:rFonts w:asciiTheme="minorHAnsi" w:eastAsiaTheme="minorEastAsia" w:hAnsiTheme="minorHAnsi" w:cstheme="minorBidi"/>
                <w:b/>
                <w:bCs/>
                <w:color w:val="FFFFFF" w:themeColor="background1"/>
                <w:sz w:val="20"/>
                <w:szCs w:val="20"/>
              </w:rPr>
              <w:t>Ítem</w:t>
            </w:r>
          </w:p>
        </w:tc>
        <w:tc>
          <w:tcPr>
            <w:tcW w:w="9120" w:type="dxa"/>
            <w:gridSpan w:val="2"/>
            <w:shd w:val="clear" w:color="auto" w:fill="002060"/>
          </w:tcPr>
          <w:p w14:paraId="27B6E13C" w14:textId="2B5BBCAE" w:rsidR="57B9DFB5" w:rsidRDefault="57B9DFB5" w:rsidP="59BD4447">
            <w:pPr>
              <w:spacing w:line="259" w:lineRule="auto"/>
              <w:jc w:val="center"/>
              <w:rPr>
                <w:rFonts w:asciiTheme="minorHAnsi" w:eastAsiaTheme="minorEastAsia" w:hAnsiTheme="minorHAnsi" w:cstheme="minorBidi"/>
                <w:b/>
                <w:bCs/>
                <w:color w:val="FFFFFF" w:themeColor="background1"/>
                <w:sz w:val="20"/>
                <w:szCs w:val="20"/>
              </w:rPr>
            </w:pPr>
            <w:r>
              <w:rPr>
                <w:rFonts w:asciiTheme="minorHAnsi" w:eastAsiaTheme="minorEastAsia" w:hAnsiTheme="minorHAnsi" w:cstheme="minorBidi"/>
                <w:b/>
                <w:bCs/>
                <w:color w:val="FFFFFF" w:themeColor="background1"/>
                <w:sz w:val="20"/>
                <w:szCs w:val="20"/>
              </w:rPr>
              <w:t>Laboratorio Solar</w:t>
            </w:r>
          </w:p>
        </w:tc>
      </w:tr>
      <w:tr w:rsidR="59BD4447" w14:paraId="55D6F48A" w14:textId="77777777" w:rsidTr="6F1EDA97">
        <w:trPr>
          <w:trHeight w:val="300"/>
        </w:trPr>
        <w:tc>
          <w:tcPr>
            <w:tcW w:w="630" w:type="dxa"/>
          </w:tcPr>
          <w:p w14:paraId="67B255C8" w14:textId="724AA6C5" w:rsidR="62E83BF3" w:rsidRDefault="62E83BF3" w:rsidP="62C29527">
            <w:pPr>
              <w:jc w:val="center"/>
            </w:pPr>
            <w:r>
              <w:t>1</w:t>
            </w:r>
          </w:p>
        </w:tc>
        <w:tc>
          <w:tcPr>
            <w:tcW w:w="5167" w:type="dxa"/>
          </w:tcPr>
          <w:p w14:paraId="005439DD" w14:textId="52F2FFBE" w:rsidR="59BD4447" w:rsidRDefault="59BD4447" w:rsidP="68D41FDE">
            <w:pPr>
              <w:jc w:val="center"/>
            </w:pPr>
            <w:r>
              <w:rPr>
                <w:noProof/>
              </w:rPr>
              <w:drawing>
                <wp:inline distT="0" distB="0" distL="0" distR="0" wp14:anchorId="09B37655" wp14:editId="56479B1A">
                  <wp:extent cx="1695450" cy="2466975"/>
                  <wp:effectExtent l="0" t="0" r="0" b="0"/>
                  <wp:docPr id="4975010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01095" name="Picture 497501095"/>
                          <pic:cNvPicPr/>
                        </pic:nvPicPr>
                        <pic:blipFill>
                          <a:blip r:embed="rId38">
                            <a:extLst>
                              <a:ext uri="{28A0092B-C50C-407E-A947-70E740481C1C}">
                                <a14:useLocalDpi xmlns:a14="http://schemas.microsoft.com/office/drawing/2010/main"/>
                              </a:ext>
                            </a:extLst>
                          </a:blip>
                          <a:stretch>
                            <a:fillRect/>
                          </a:stretch>
                        </pic:blipFill>
                        <pic:spPr>
                          <a:xfrm>
                            <a:off x="0" y="0"/>
                            <a:ext cx="1695450" cy="2466975"/>
                          </a:xfrm>
                          <a:prstGeom prst="rect">
                            <a:avLst/>
                          </a:prstGeom>
                        </pic:spPr>
                      </pic:pic>
                    </a:graphicData>
                  </a:graphic>
                </wp:inline>
              </w:drawing>
            </w:r>
          </w:p>
        </w:tc>
        <w:tc>
          <w:tcPr>
            <w:tcW w:w="3953" w:type="dxa"/>
          </w:tcPr>
          <w:p w14:paraId="3A600B14" w14:textId="67FA98AE" w:rsidR="59BD4447" w:rsidRDefault="59BD4447" w:rsidP="59BD4447">
            <w:pPr>
              <w:spacing w:line="259" w:lineRule="auto"/>
              <w:jc w:val="both"/>
              <w:rPr>
                <w:rFonts w:asciiTheme="minorHAnsi" w:eastAsiaTheme="minorEastAsia" w:hAnsiTheme="minorHAnsi" w:cstheme="minorBidi"/>
                <w:b/>
                <w:bCs/>
                <w:sz w:val="20"/>
                <w:szCs w:val="20"/>
              </w:rPr>
            </w:pPr>
            <w:r>
              <w:rPr>
                <w:rFonts w:asciiTheme="minorHAnsi" w:eastAsiaTheme="minorEastAsia" w:hAnsiTheme="minorHAnsi" w:cstheme="minorBidi"/>
                <w:b/>
                <w:bCs/>
                <w:sz w:val="20"/>
                <w:szCs w:val="20"/>
              </w:rPr>
              <w:t xml:space="preserve">Necesidad  </w:t>
            </w:r>
          </w:p>
          <w:p w14:paraId="48BB1AD0" w14:textId="7B3C25C8" w:rsidR="59BD4447" w:rsidRDefault="59BD4447" w:rsidP="59BD4447">
            <w:pPr>
              <w:spacing w:line="259" w:lineRule="auto"/>
              <w:jc w:val="both"/>
              <w:rPr>
                <w:rFonts w:asciiTheme="minorHAnsi" w:eastAsiaTheme="minorEastAsia" w:hAnsiTheme="minorHAnsi" w:cstheme="minorBidi"/>
                <w:sz w:val="20"/>
                <w:szCs w:val="20"/>
              </w:rPr>
            </w:pPr>
            <w:r>
              <w:rPr>
                <w:rFonts w:asciiTheme="minorHAnsi" w:eastAsiaTheme="minorEastAsia" w:hAnsiTheme="minorHAnsi" w:cstheme="minorBidi"/>
                <w:sz w:val="20"/>
                <w:szCs w:val="20"/>
              </w:rPr>
              <w:t xml:space="preserve">Gabinete Modular de Energía Solar Autónomo – Off Grid Permitir el aprendizaje práctico de sistemas fotovoltaicos autónomos (Off-Grid), incluyendo generación, almacenamiento y suministro de energía en sistemas aislados. Incluye contenido curricular en español de aproximadamente 40 horas de actividades académicas para prácticas de laboratorio.   </w:t>
            </w:r>
          </w:p>
          <w:p w14:paraId="2B28F4D0" w14:textId="4B3BE823" w:rsidR="59BD4447" w:rsidRDefault="59BD4447" w:rsidP="59BD4447">
            <w:pPr>
              <w:spacing w:line="259" w:lineRule="auto"/>
              <w:jc w:val="both"/>
              <w:rPr>
                <w:rFonts w:asciiTheme="minorHAnsi" w:eastAsiaTheme="minorEastAsia" w:hAnsiTheme="minorHAnsi" w:cstheme="minorBidi"/>
                <w:sz w:val="20"/>
                <w:szCs w:val="20"/>
              </w:rPr>
            </w:pPr>
          </w:p>
          <w:p w14:paraId="4C830014" w14:textId="759D65E7" w:rsidR="59BD4447" w:rsidRDefault="59BD4447" w:rsidP="59BD4447">
            <w:pPr>
              <w:spacing w:line="259" w:lineRule="auto"/>
              <w:jc w:val="both"/>
              <w:rPr>
                <w:rFonts w:asciiTheme="minorHAnsi" w:eastAsiaTheme="minorEastAsia" w:hAnsiTheme="minorHAnsi" w:cstheme="minorBidi"/>
                <w:b/>
                <w:bCs/>
                <w:sz w:val="20"/>
                <w:szCs w:val="20"/>
              </w:rPr>
            </w:pPr>
            <w:r>
              <w:rPr>
                <w:rFonts w:asciiTheme="minorHAnsi" w:eastAsiaTheme="minorEastAsia" w:hAnsiTheme="minorHAnsi" w:cstheme="minorBidi"/>
                <w:b/>
                <w:bCs/>
                <w:sz w:val="20"/>
                <w:szCs w:val="20"/>
              </w:rPr>
              <w:t xml:space="preserve">Características técnicas de referencia   </w:t>
            </w:r>
          </w:p>
          <w:p w14:paraId="259B40C2" w14:textId="20DE6CE6" w:rsidR="59BD4447" w:rsidRDefault="59BD4447" w:rsidP="68D41FDE">
            <w:pPr>
              <w:spacing w:line="259" w:lineRule="auto"/>
              <w:jc w:val="both"/>
              <w:rPr>
                <w:rFonts w:asciiTheme="minorHAnsi" w:eastAsiaTheme="minorEastAsia" w:hAnsiTheme="minorHAnsi" w:cstheme="minorBidi"/>
                <w:sz w:val="20"/>
                <w:szCs w:val="20"/>
              </w:rPr>
            </w:pPr>
            <w:r>
              <w:rPr>
                <w:rFonts w:asciiTheme="minorHAnsi" w:eastAsiaTheme="minorEastAsia" w:hAnsiTheme="minorHAnsi" w:cstheme="minorBidi"/>
                <w:sz w:val="20"/>
                <w:szCs w:val="20"/>
              </w:rPr>
              <w:t>Sistema didáctico autónomo con módulo fotovoltaico ≥300–500 W, controlador de carga MPPT ≥30 A, banco de baterías ≥1–2 kWh (tecnología LiFePO4), inversor onda pura ≥1 kW, protecciones eléctricas DC/AC, monitoreo de variables eléctricas (voltaje, corriente y potencia) y posibilidad de conexión de cargas didácticas. El sistema debe incluir gabinete metálico IP65 – IK10 en acero con conectores en cobre, cableado, terminales y protecciones eléctricas. Debe incorporar módulos fotovoltaicos monocristalinos de aproximadamente 450 W con voltaje máximo del sistema de 1000 VDC y paneles policristalinos de aproximadamente 335 W. Inversor de aproximadamente 1500 W con salida 110-120 VAC, frecuencia 50/60 Hz y rango de operación de -20 °C a 45 °C. Controlador MPPT de 50 A con tensión FV máxima aproximada de 100 V y controlador PWM de 50 A para baterías de 12/24 VDC. Banco de baterías compuesto por baterías AGM 12 V 50 Ah, baterías GEL 12 V 50 Ah y batería de litio 12 V 100 Ah.</w:t>
            </w:r>
          </w:p>
        </w:tc>
      </w:tr>
      <w:tr w:rsidR="59BD4447" w14:paraId="063A74C1" w14:textId="77777777" w:rsidTr="6F1EDA97">
        <w:trPr>
          <w:trHeight w:val="7590"/>
        </w:trPr>
        <w:tc>
          <w:tcPr>
            <w:tcW w:w="630" w:type="dxa"/>
          </w:tcPr>
          <w:p w14:paraId="14BA4F13" w14:textId="05F5000F" w:rsidR="62E83BF3" w:rsidRDefault="62E83BF3" w:rsidP="62C29527">
            <w:pPr>
              <w:jc w:val="center"/>
            </w:pPr>
            <w:r>
              <w:t>2</w:t>
            </w:r>
          </w:p>
        </w:tc>
        <w:tc>
          <w:tcPr>
            <w:tcW w:w="5167" w:type="dxa"/>
          </w:tcPr>
          <w:p w14:paraId="4C470DDA" w14:textId="253FF634" w:rsidR="59BD4447" w:rsidRDefault="59BD4447" w:rsidP="68D41FDE">
            <w:pPr>
              <w:jc w:val="center"/>
            </w:pPr>
            <w:r>
              <w:rPr>
                <w:noProof/>
              </w:rPr>
              <w:drawing>
                <wp:inline distT="0" distB="0" distL="0" distR="0" wp14:anchorId="717C9405" wp14:editId="5131B7EC">
                  <wp:extent cx="2200275" cy="2466975"/>
                  <wp:effectExtent l="0" t="0" r="0" b="0"/>
                  <wp:docPr id="11126740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74020" name="Picture 1112674020"/>
                          <pic:cNvPicPr/>
                        </pic:nvPicPr>
                        <pic:blipFill>
                          <a:blip r:embed="rId39">
                            <a:extLst>
                              <a:ext uri="{28A0092B-C50C-407E-A947-70E740481C1C}">
                                <a14:useLocalDpi xmlns:a14="http://schemas.microsoft.com/office/drawing/2010/main"/>
                              </a:ext>
                            </a:extLst>
                          </a:blip>
                          <a:stretch>
                            <a:fillRect/>
                          </a:stretch>
                        </pic:blipFill>
                        <pic:spPr>
                          <a:xfrm>
                            <a:off x="0" y="0"/>
                            <a:ext cx="2200275" cy="2466975"/>
                          </a:xfrm>
                          <a:prstGeom prst="rect">
                            <a:avLst/>
                          </a:prstGeom>
                        </pic:spPr>
                      </pic:pic>
                    </a:graphicData>
                  </a:graphic>
                </wp:inline>
              </w:drawing>
            </w:r>
          </w:p>
        </w:tc>
        <w:tc>
          <w:tcPr>
            <w:tcW w:w="3953" w:type="dxa"/>
          </w:tcPr>
          <w:p w14:paraId="14CCB4F7" w14:textId="253C9A7C"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Necesidad  </w:t>
            </w:r>
          </w:p>
          <w:p w14:paraId="0FE11575" w14:textId="5696C70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Gabinete Modular de Energía Solar para Conexión a la Red – On Grid Permitir el aprendizaje práctico de sistemas fotovoltaicos conectados a red y el análisis del comportamiento de generación eléctrica e inyección de energía.   </w:t>
            </w:r>
          </w:p>
          <w:p w14:paraId="48ADD692" w14:textId="5D751CBC" w:rsidR="59BD4447" w:rsidRDefault="59BD4447" w:rsidP="3C234025">
            <w:pPr>
              <w:jc w:val="both"/>
              <w:rPr>
                <w:rFonts w:asciiTheme="minorHAnsi" w:eastAsiaTheme="minorEastAsia" w:hAnsiTheme="minorHAnsi" w:cstheme="minorBidi"/>
                <w:sz w:val="20"/>
                <w:szCs w:val="20"/>
              </w:rPr>
            </w:pPr>
          </w:p>
          <w:p w14:paraId="5FFB7C9E" w14:textId="67F9074A"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Características técnicas de referencia   </w:t>
            </w:r>
          </w:p>
          <w:p w14:paraId="18E78C59" w14:textId="2710F7B8" w:rsidR="59BD4447" w:rsidRDefault="632395EB"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Sistema fotovoltaico conectado a red con módulo PV ≥600 W bifacial, inversor grid-tie ≥1.5–2 kW, protección anti-isla, medición bidireccional de energía y sistema de monitoreo de generación eléctrica. El sistema debe incluir gabinete metálico IP65 – IK10 en acero con conectores en cobre, cableado, terminales y protecciones eléctricas. Debe incorporar microinversor con potencia máxima de salida </w:t>
            </w:r>
            <w:bookmarkStart w:id="2" w:name="_Int_Tz2mgRzx"/>
            <w:r w:rsidRPr="3C234025">
              <w:rPr>
                <w:rFonts w:asciiTheme="minorHAnsi" w:eastAsiaTheme="minorEastAsia" w:hAnsiTheme="minorHAnsi" w:cstheme="minorBidi"/>
                <w:sz w:val="20"/>
                <w:szCs w:val="20"/>
              </w:rPr>
              <w:t>continua</w:t>
            </w:r>
            <w:bookmarkEnd w:id="2"/>
            <w:r w:rsidRPr="3C234025">
              <w:rPr>
                <w:rFonts w:asciiTheme="minorHAnsi" w:eastAsiaTheme="minorEastAsia" w:hAnsiTheme="minorHAnsi" w:cstheme="minorBidi"/>
                <w:sz w:val="20"/>
                <w:szCs w:val="20"/>
              </w:rPr>
              <w:t xml:space="preserve"> aproximada de 1200 W, corriente nominal de salida de aproximadamente 5 A y factor de potencia mayor a 0.99. Debe incluir cable AC BUS de aproximadamente 2 m para conexión de salida del inversor, conector terminal END CAP para sellado del bus AC y unidad de comunicación ECU con conectividad WiFi (802.11 g/n), rango de temperatura de operación aproximado de -20 °C a 65 °C y protección IP20.</w:t>
            </w:r>
          </w:p>
        </w:tc>
      </w:tr>
      <w:tr w:rsidR="59BD4447" w14:paraId="2F3FC51A" w14:textId="77777777" w:rsidTr="6F1EDA97">
        <w:trPr>
          <w:trHeight w:val="300"/>
        </w:trPr>
        <w:tc>
          <w:tcPr>
            <w:tcW w:w="630" w:type="dxa"/>
          </w:tcPr>
          <w:p w14:paraId="1E0B3A4F" w14:textId="6FA4B58E" w:rsidR="3AE6FF3D" w:rsidRDefault="3AE6FF3D" w:rsidP="62C29527">
            <w:pPr>
              <w:jc w:val="center"/>
            </w:pPr>
            <w:r>
              <w:t>3</w:t>
            </w:r>
          </w:p>
        </w:tc>
        <w:tc>
          <w:tcPr>
            <w:tcW w:w="5167" w:type="dxa"/>
          </w:tcPr>
          <w:p w14:paraId="3747A57F" w14:textId="455383E5" w:rsidR="59BD4447" w:rsidRDefault="59BD4447" w:rsidP="68D41FDE">
            <w:pPr>
              <w:jc w:val="center"/>
            </w:pPr>
            <w:r>
              <w:rPr>
                <w:noProof/>
              </w:rPr>
              <w:drawing>
                <wp:inline distT="0" distB="0" distL="0" distR="0" wp14:anchorId="3F528F5B" wp14:editId="387274CD">
                  <wp:extent cx="2276475" cy="2466975"/>
                  <wp:effectExtent l="0" t="0" r="0" b="0"/>
                  <wp:docPr id="17108019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801931" name="Picture 1710801931"/>
                          <pic:cNvPicPr/>
                        </pic:nvPicPr>
                        <pic:blipFill>
                          <a:blip r:embed="rId40">
                            <a:extLst>
                              <a:ext uri="{28A0092B-C50C-407E-A947-70E740481C1C}">
                                <a14:useLocalDpi xmlns:a14="http://schemas.microsoft.com/office/drawing/2010/main"/>
                              </a:ext>
                            </a:extLst>
                          </a:blip>
                          <a:stretch>
                            <a:fillRect/>
                          </a:stretch>
                        </pic:blipFill>
                        <pic:spPr>
                          <a:xfrm>
                            <a:off x="0" y="0"/>
                            <a:ext cx="2276475" cy="2466975"/>
                          </a:xfrm>
                          <a:prstGeom prst="rect">
                            <a:avLst/>
                          </a:prstGeom>
                        </pic:spPr>
                      </pic:pic>
                    </a:graphicData>
                  </a:graphic>
                </wp:inline>
              </w:drawing>
            </w:r>
          </w:p>
        </w:tc>
        <w:tc>
          <w:tcPr>
            <w:tcW w:w="3953" w:type="dxa"/>
          </w:tcPr>
          <w:p w14:paraId="59F5D6A6" w14:textId="13E03D14"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Necesidad  </w:t>
            </w:r>
          </w:p>
          <w:p w14:paraId="756E84C0" w14:textId="24B914E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Gabinete Modular de Energía Solar Multifuncional Permitir prácticas académicas con diferentes configuraciones de sistemas solares (aislado, conectado a red e híbrido).   </w:t>
            </w:r>
          </w:p>
          <w:p w14:paraId="348E0ED5" w14:textId="6EAAF8D2" w:rsidR="59BD4447" w:rsidRDefault="59BD4447" w:rsidP="3C234025">
            <w:pPr>
              <w:jc w:val="both"/>
              <w:rPr>
                <w:rFonts w:asciiTheme="minorHAnsi" w:eastAsiaTheme="minorEastAsia" w:hAnsiTheme="minorHAnsi" w:cstheme="minorBidi"/>
                <w:sz w:val="20"/>
                <w:szCs w:val="20"/>
              </w:rPr>
            </w:pPr>
          </w:p>
          <w:p w14:paraId="29A0C20C" w14:textId="3968BA8B"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Características técnicas de referencia   </w:t>
            </w:r>
          </w:p>
          <w:p w14:paraId="3309E050" w14:textId="69B029E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Plataforma didáctica modular con instrumentación integrada para medición de variables eléctricas, posibilidad de configuración de circuitos serie/paralelo y sistema de adquisición de datos para análisis de desempeño del sistema. Debe incluir gabinete metálico IP65 – IK10 con conectores, cableado y protecciones eléctricas. Debe incorporar sistema multifuncional de aproximadamente 1 kVA / 0,8 kW con controlador MPPT de aproximadamente 40 A y tensión nominal de 24 VDC. Forma de onda sinusoidal, voltaje de entrada AC nominal 110/220 VAC y frecuencia nominal 50/60 Hz. Debe incluir batería de litio de aproximadamente 12 V y capacidad aproximada de 100 Ah.</w:t>
            </w:r>
          </w:p>
        </w:tc>
      </w:tr>
      <w:tr w:rsidR="59BD4447" w14:paraId="184AAF9E" w14:textId="77777777" w:rsidTr="6F1EDA97">
        <w:trPr>
          <w:trHeight w:val="300"/>
        </w:trPr>
        <w:tc>
          <w:tcPr>
            <w:tcW w:w="630" w:type="dxa"/>
          </w:tcPr>
          <w:p w14:paraId="1C695D04" w14:textId="34CC88BA" w:rsidR="3AE6FF3D" w:rsidRDefault="3AE6FF3D" w:rsidP="62C29527">
            <w:pPr>
              <w:jc w:val="center"/>
            </w:pPr>
            <w:r>
              <w:t>4</w:t>
            </w:r>
          </w:p>
        </w:tc>
        <w:tc>
          <w:tcPr>
            <w:tcW w:w="5167" w:type="dxa"/>
          </w:tcPr>
          <w:p w14:paraId="71D05BDC" w14:textId="28849534" w:rsidR="59BD4447" w:rsidRDefault="59BD4447" w:rsidP="68D41FDE">
            <w:pPr>
              <w:jc w:val="center"/>
              <w:rPr>
                <w:rFonts w:ascii="Times New Roman" w:eastAsia="Times New Roman" w:hAnsi="Times New Roman" w:cs="Times New Roman"/>
                <w:color w:val="000000" w:themeColor="text1"/>
                <w:sz w:val="20"/>
                <w:szCs w:val="20"/>
              </w:rPr>
            </w:pPr>
            <w:r>
              <w:rPr>
                <w:noProof/>
              </w:rPr>
              <w:drawing>
                <wp:inline distT="0" distB="0" distL="0" distR="0" wp14:anchorId="42FF8085" wp14:editId="4BD6A938">
                  <wp:extent cx="2419532" cy="1224673"/>
                  <wp:effectExtent l="0" t="0" r="0" b="0"/>
                  <wp:docPr id="17626689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68986" name="Picture 1762668986"/>
                          <pic:cNvPicPr/>
                        </pic:nvPicPr>
                        <pic:blipFill>
                          <a:blip r:embed="rId41">
                            <a:extLst>
                              <a:ext uri="{28A0092B-C50C-407E-A947-70E740481C1C}">
                                <a14:useLocalDpi xmlns:a14="http://schemas.microsoft.com/office/drawing/2010/main"/>
                              </a:ext>
                            </a:extLst>
                          </a:blip>
                          <a:srcRect l="42364" t="15839" r="28472" b="59963"/>
                          <a:stretch>
                            <a:fillRect/>
                          </a:stretch>
                        </pic:blipFill>
                        <pic:spPr>
                          <a:xfrm>
                            <a:off x="0" y="0"/>
                            <a:ext cx="2419532" cy="1224673"/>
                          </a:xfrm>
                          <a:prstGeom prst="rect">
                            <a:avLst/>
                          </a:prstGeom>
                        </pic:spPr>
                      </pic:pic>
                    </a:graphicData>
                  </a:graphic>
                </wp:inline>
              </w:drawing>
            </w:r>
          </w:p>
        </w:tc>
        <w:tc>
          <w:tcPr>
            <w:tcW w:w="3953" w:type="dxa"/>
          </w:tcPr>
          <w:p w14:paraId="1260D0BF" w14:textId="059EA97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 xml:space="preserve">Necesidad </w:t>
            </w:r>
            <w:r w:rsidRPr="3C234025">
              <w:rPr>
                <w:rFonts w:asciiTheme="minorHAnsi" w:eastAsiaTheme="minorEastAsia" w:hAnsiTheme="minorHAnsi" w:cstheme="minorBidi"/>
                <w:sz w:val="20"/>
                <w:szCs w:val="20"/>
              </w:rPr>
              <w:t xml:space="preserve"> </w:t>
            </w:r>
          </w:p>
          <w:p w14:paraId="5F1F80B4" w14:textId="6C02119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Equipo Modular de Energía Solar Fotovoltaica Proporcionar una plataforma integral para el estudio de generación solar, conversión y almacenamiento de energía.   </w:t>
            </w:r>
          </w:p>
          <w:p w14:paraId="0D1E8E84" w14:textId="0D5C50F2" w:rsidR="59BD4447" w:rsidRDefault="59BD4447" w:rsidP="3C234025">
            <w:pPr>
              <w:jc w:val="both"/>
              <w:rPr>
                <w:rFonts w:asciiTheme="minorHAnsi" w:eastAsiaTheme="minorEastAsia" w:hAnsiTheme="minorHAnsi" w:cstheme="minorBidi"/>
                <w:sz w:val="20"/>
                <w:szCs w:val="20"/>
              </w:rPr>
            </w:pPr>
          </w:p>
          <w:p w14:paraId="74753F0A" w14:textId="7C3485B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 xml:space="preserve">Características técnicas de referencia  </w:t>
            </w:r>
            <w:r w:rsidRPr="3C234025">
              <w:rPr>
                <w:rFonts w:asciiTheme="minorHAnsi" w:eastAsiaTheme="minorEastAsia" w:hAnsiTheme="minorHAnsi" w:cstheme="minorBidi"/>
                <w:sz w:val="20"/>
                <w:szCs w:val="20"/>
              </w:rPr>
              <w:t xml:space="preserve"> </w:t>
            </w:r>
          </w:p>
          <w:p w14:paraId="4D4ADE43" w14:textId="15508BEB" w:rsidR="59BD4447" w:rsidRDefault="7E5FBC9C" w:rsidP="3C234025">
            <w:pPr>
              <w:jc w:val="both"/>
              <w:rPr>
                <w:rFonts w:asciiTheme="minorHAnsi" w:eastAsiaTheme="minorEastAsia" w:hAnsiTheme="minorHAnsi" w:cstheme="minorBidi"/>
                <w:sz w:val="20"/>
                <w:szCs w:val="20"/>
              </w:rPr>
            </w:pPr>
            <w:r w:rsidRPr="6F1EDA97">
              <w:rPr>
                <w:rFonts w:asciiTheme="minorHAnsi" w:eastAsiaTheme="minorEastAsia" w:hAnsiTheme="minorHAnsi" w:cstheme="minorBidi"/>
                <w:sz w:val="20"/>
                <w:szCs w:val="20"/>
              </w:rPr>
              <w:t>Entrenador Modular de Energía Solar Fotovoltaica (tipo MINI-EESF o equivalente). Panel FV policristalino con potencia máxima nominal ≥ 50 Wp, voltaje en punto máximo de potencia Vmpp ≈ 17-18 VDC, corriente Impp ≈ 3.7 A, Isc ≈ 4 A, Voc ≈ 22 V. Montado en estructura de aluminio anodizado con ruedas para movilidad. Módulo controlador de carga solar (12/24 V, detección automática de voltaje). Módulo inversor CC/CA: salida 230 VAC/50 Hz ±2%, onda senoidal pura, potencia ≥ 150 W, voltaje de entrada nominal 12 VDC. Módulo de cargas DC 12V (2 lámparas con interruptores independientes). Módulo de cargas CA 220V (2 lámparas con interruptores independientes). Módulo de medición multifunción: tensión CA/CC hasta 250V y corriente hasta 10A. Módulo de medición de irradiancia solar (W/m²). Rack modular para colocación de módulos. Kit de inversión de red: potencia nominal 150 W, Vout 230 VAC/50 Hz, rango Vmpp entrada 45-125 VDC, simulador de red eléctrica incluido.</w:t>
            </w:r>
          </w:p>
        </w:tc>
      </w:tr>
      <w:tr w:rsidR="59BD4447" w14:paraId="2B81C5BD" w14:textId="77777777" w:rsidTr="6F1EDA97">
        <w:trPr>
          <w:trHeight w:val="300"/>
        </w:trPr>
        <w:tc>
          <w:tcPr>
            <w:tcW w:w="630" w:type="dxa"/>
          </w:tcPr>
          <w:p w14:paraId="061ED299" w14:textId="127536BD" w:rsidR="3EF2281F" w:rsidRDefault="76EAF7F7" w:rsidP="5F54C238">
            <w:pPr>
              <w:spacing w:line="259" w:lineRule="auto"/>
              <w:jc w:val="center"/>
            </w:pPr>
            <w:r>
              <w:t>5</w:t>
            </w:r>
          </w:p>
        </w:tc>
        <w:tc>
          <w:tcPr>
            <w:tcW w:w="5167" w:type="dxa"/>
          </w:tcPr>
          <w:p w14:paraId="293EA7E2" w14:textId="48CA63AB" w:rsidR="59BD4447" w:rsidRDefault="59BD4447" w:rsidP="68D41FDE">
            <w:pPr>
              <w:jc w:val="center"/>
            </w:pPr>
            <w:r>
              <w:rPr>
                <w:noProof/>
              </w:rPr>
              <w:drawing>
                <wp:inline distT="0" distB="0" distL="0" distR="0" wp14:anchorId="13848D46" wp14:editId="578103DC">
                  <wp:extent cx="1619250" cy="2466975"/>
                  <wp:effectExtent l="0" t="0" r="0" b="0"/>
                  <wp:docPr id="8324670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467069" name="Picture 832467069"/>
                          <pic:cNvPicPr/>
                        </pic:nvPicPr>
                        <pic:blipFill>
                          <a:blip r:embed="rId42">
                            <a:extLst>
                              <a:ext uri="{28A0092B-C50C-407E-A947-70E740481C1C}">
                                <a14:useLocalDpi xmlns:a14="http://schemas.microsoft.com/office/drawing/2010/main"/>
                              </a:ext>
                            </a:extLst>
                          </a:blip>
                          <a:stretch>
                            <a:fillRect/>
                          </a:stretch>
                        </pic:blipFill>
                        <pic:spPr>
                          <a:xfrm>
                            <a:off x="0" y="0"/>
                            <a:ext cx="1619250" cy="2466975"/>
                          </a:xfrm>
                          <a:prstGeom prst="rect">
                            <a:avLst/>
                          </a:prstGeom>
                        </pic:spPr>
                      </pic:pic>
                    </a:graphicData>
                  </a:graphic>
                </wp:inline>
              </w:drawing>
            </w:r>
          </w:p>
        </w:tc>
        <w:tc>
          <w:tcPr>
            <w:tcW w:w="3953" w:type="dxa"/>
          </w:tcPr>
          <w:p w14:paraId="66AECF9E" w14:textId="1FA12B14"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Necesidad  </w:t>
            </w:r>
          </w:p>
          <w:p w14:paraId="031B0B44" w14:textId="6A87A97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Banco de trabajo Facilitar el desarrollo de prácticas técnicas de montaje, medición y configuración de sistemas solares.   </w:t>
            </w:r>
          </w:p>
          <w:p w14:paraId="6567532D" w14:textId="7E381103" w:rsidR="59BD4447" w:rsidRDefault="59BD4447" w:rsidP="3C234025">
            <w:pPr>
              <w:jc w:val="both"/>
              <w:rPr>
                <w:rFonts w:asciiTheme="minorHAnsi" w:eastAsiaTheme="minorEastAsia" w:hAnsiTheme="minorHAnsi" w:cstheme="minorBidi"/>
                <w:sz w:val="20"/>
                <w:szCs w:val="20"/>
              </w:rPr>
            </w:pPr>
          </w:p>
          <w:p w14:paraId="61DF90CC" w14:textId="23A1770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157B44C0" w14:textId="7E16278F" w:rsidR="59BD4447" w:rsidRDefault="7E5FBC9C" w:rsidP="3C234025">
            <w:pPr>
              <w:jc w:val="both"/>
              <w:rPr>
                <w:rFonts w:asciiTheme="minorHAnsi" w:eastAsiaTheme="minorEastAsia" w:hAnsiTheme="minorHAnsi" w:cstheme="minorBidi"/>
                <w:sz w:val="20"/>
                <w:szCs w:val="20"/>
              </w:rPr>
            </w:pPr>
            <w:r w:rsidRPr="6F1EDA97">
              <w:rPr>
                <w:rFonts w:asciiTheme="minorHAnsi" w:eastAsiaTheme="minorEastAsia" w:hAnsiTheme="minorHAnsi" w:cstheme="minorBidi"/>
                <w:sz w:val="20"/>
                <w:szCs w:val="20"/>
              </w:rPr>
              <w:t>Estación de trabajo robusta con superficie resistente y aislante, adecuada para la instalación de equipos didácticos y prácticas eléctricas.</w:t>
            </w:r>
          </w:p>
        </w:tc>
      </w:tr>
      <w:tr w:rsidR="59BD4447" w14:paraId="0DC87E81" w14:textId="77777777" w:rsidTr="6F1EDA97">
        <w:trPr>
          <w:trHeight w:val="300"/>
        </w:trPr>
        <w:tc>
          <w:tcPr>
            <w:tcW w:w="630" w:type="dxa"/>
          </w:tcPr>
          <w:p w14:paraId="6B7317CB" w14:textId="166E8D89" w:rsidR="2C89946A" w:rsidRDefault="52A95DE7" w:rsidP="62C29527">
            <w:pPr>
              <w:jc w:val="center"/>
            </w:pPr>
            <w:r>
              <w:t>6</w:t>
            </w:r>
          </w:p>
        </w:tc>
        <w:tc>
          <w:tcPr>
            <w:tcW w:w="5167" w:type="dxa"/>
          </w:tcPr>
          <w:p w14:paraId="24DF14CE" w14:textId="0468CBCF" w:rsidR="59BD4447" w:rsidRDefault="59BD4447" w:rsidP="68D41FDE">
            <w:pPr>
              <w:jc w:val="center"/>
            </w:pPr>
            <w:r>
              <w:rPr>
                <w:noProof/>
              </w:rPr>
              <w:drawing>
                <wp:inline distT="0" distB="0" distL="0" distR="0" wp14:anchorId="4D14FCF8" wp14:editId="27FB1549">
                  <wp:extent cx="1685925" cy="2466975"/>
                  <wp:effectExtent l="0" t="0" r="0" b="0"/>
                  <wp:docPr id="21322709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270966" name="Picture 2132270966"/>
                          <pic:cNvPicPr/>
                        </pic:nvPicPr>
                        <pic:blipFill>
                          <a:blip r:embed="rId43">
                            <a:extLst>
                              <a:ext uri="{28A0092B-C50C-407E-A947-70E740481C1C}">
                                <a14:useLocalDpi xmlns:a14="http://schemas.microsoft.com/office/drawing/2010/main"/>
                              </a:ext>
                            </a:extLst>
                          </a:blip>
                          <a:stretch>
                            <a:fillRect/>
                          </a:stretch>
                        </pic:blipFill>
                        <pic:spPr>
                          <a:xfrm>
                            <a:off x="0" y="0"/>
                            <a:ext cx="1685925" cy="2466975"/>
                          </a:xfrm>
                          <a:prstGeom prst="rect">
                            <a:avLst/>
                          </a:prstGeom>
                        </pic:spPr>
                      </pic:pic>
                    </a:graphicData>
                  </a:graphic>
                </wp:inline>
              </w:drawing>
            </w:r>
          </w:p>
        </w:tc>
        <w:tc>
          <w:tcPr>
            <w:tcW w:w="3953" w:type="dxa"/>
          </w:tcPr>
          <w:p w14:paraId="597988E9" w14:textId="773CDF06"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Necesidad  </w:t>
            </w:r>
          </w:p>
          <w:p w14:paraId="3FCC30D1" w14:textId="7A9DD1C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Armario de guardado de equipos Permitir el almacenamiento seguro de instrumentos y componentes del laboratorio.   </w:t>
            </w:r>
          </w:p>
          <w:p w14:paraId="4F992084" w14:textId="566859E7" w:rsidR="59BD4447" w:rsidRDefault="59BD4447" w:rsidP="3C234025">
            <w:pPr>
              <w:jc w:val="both"/>
              <w:rPr>
                <w:rFonts w:asciiTheme="minorHAnsi" w:eastAsiaTheme="minorEastAsia" w:hAnsiTheme="minorHAnsi" w:cstheme="minorBidi"/>
                <w:sz w:val="20"/>
                <w:szCs w:val="20"/>
              </w:rPr>
            </w:pPr>
          </w:p>
          <w:p w14:paraId="6A12ED08" w14:textId="5A0AA99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71727465" w14:textId="5C0D901C"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Gabinete metálico o equivalente con sistema de cierre y compartimientos para almacenamiento de equipos e instrumentos.</w:t>
            </w:r>
          </w:p>
        </w:tc>
      </w:tr>
      <w:tr w:rsidR="59BD4447" w14:paraId="372B6EA6" w14:textId="77777777" w:rsidTr="6F1EDA97">
        <w:trPr>
          <w:trHeight w:val="300"/>
        </w:trPr>
        <w:tc>
          <w:tcPr>
            <w:tcW w:w="630" w:type="dxa"/>
          </w:tcPr>
          <w:p w14:paraId="7370B569" w14:textId="3437DC22" w:rsidR="2C89946A" w:rsidRDefault="452BE653" w:rsidP="62C29527">
            <w:r>
              <w:t>7</w:t>
            </w:r>
          </w:p>
        </w:tc>
        <w:tc>
          <w:tcPr>
            <w:tcW w:w="5167" w:type="dxa"/>
          </w:tcPr>
          <w:p w14:paraId="56C73EAE" w14:textId="36DFFDC6" w:rsidR="59BD4447" w:rsidRDefault="59BD4447" w:rsidP="59BD4447">
            <w:r>
              <w:rPr>
                <w:noProof/>
              </w:rPr>
              <w:drawing>
                <wp:inline distT="0" distB="0" distL="0" distR="0" wp14:anchorId="2EB75834" wp14:editId="49BCDDC2">
                  <wp:extent cx="2466975" cy="2095500"/>
                  <wp:effectExtent l="0" t="0" r="0" b="0"/>
                  <wp:docPr id="1266969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6975" name="Picture 126696975"/>
                          <pic:cNvPicPr/>
                        </pic:nvPicPr>
                        <pic:blipFill>
                          <a:blip r:embed="rId44">
                            <a:extLst>
                              <a:ext uri="{28A0092B-C50C-407E-A947-70E740481C1C}">
                                <a14:useLocalDpi xmlns:a14="http://schemas.microsoft.com/office/drawing/2010/main"/>
                              </a:ext>
                            </a:extLst>
                          </a:blip>
                          <a:stretch>
                            <a:fillRect/>
                          </a:stretch>
                        </pic:blipFill>
                        <pic:spPr>
                          <a:xfrm>
                            <a:off x="0" y="0"/>
                            <a:ext cx="2466975" cy="2095500"/>
                          </a:xfrm>
                          <a:prstGeom prst="rect">
                            <a:avLst/>
                          </a:prstGeom>
                        </pic:spPr>
                      </pic:pic>
                    </a:graphicData>
                  </a:graphic>
                </wp:inline>
              </w:drawing>
            </w:r>
          </w:p>
        </w:tc>
        <w:tc>
          <w:tcPr>
            <w:tcW w:w="3953" w:type="dxa"/>
          </w:tcPr>
          <w:p w14:paraId="7D3DF0E9" w14:textId="2815175A"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Necesidad  </w:t>
            </w:r>
          </w:p>
          <w:p w14:paraId="3B272FDC" w14:textId="0D4F50F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Soportes para paneles PV en aluminio Permitir prácticas de instalación y orientación de módulos solares.  </w:t>
            </w:r>
          </w:p>
          <w:p w14:paraId="3E349CEE" w14:textId="21F2E2FA" w:rsidR="59BD4447" w:rsidRDefault="59BD4447" w:rsidP="3C234025">
            <w:pPr>
              <w:jc w:val="both"/>
              <w:rPr>
                <w:rFonts w:asciiTheme="minorHAnsi" w:eastAsiaTheme="minorEastAsia" w:hAnsiTheme="minorHAnsi" w:cstheme="minorBidi"/>
                <w:sz w:val="20"/>
                <w:szCs w:val="20"/>
              </w:rPr>
            </w:pPr>
          </w:p>
          <w:p w14:paraId="07F919C2" w14:textId="7B8DAF2D"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Características técnicas de referencia  </w:t>
            </w:r>
          </w:p>
          <w:p w14:paraId="482C8CC1" w14:textId="7406DB2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Estructuras ajustables en aluminio para montaje de paneles fotovoltaicos con regulación de inclinación aproximada entre 0° y 45°. Material en aluminio anodizado y acero inoxidable, con resistencia estructural para velocidades de viento de aproximadamente hasta 45 m/s.</w:t>
            </w:r>
          </w:p>
        </w:tc>
      </w:tr>
      <w:tr w:rsidR="59BD4447" w14:paraId="36CDD6BD" w14:textId="77777777" w:rsidTr="6F1EDA97">
        <w:trPr>
          <w:trHeight w:val="300"/>
        </w:trPr>
        <w:tc>
          <w:tcPr>
            <w:tcW w:w="630" w:type="dxa"/>
          </w:tcPr>
          <w:p w14:paraId="648B51B5" w14:textId="5F1262E2" w:rsidR="4B948495" w:rsidRDefault="1D212280" w:rsidP="62C29527">
            <w:pPr>
              <w:jc w:val="center"/>
            </w:pPr>
            <w:r>
              <w:t>8</w:t>
            </w:r>
          </w:p>
        </w:tc>
        <w:tc>
          <w:tcPr>
            <w:tcW w:w="5167" w:type="dxa"/>
          </w:tcPr>
          <w:p w14:paraId="44EF911D" w14:textId="7ADC91E8" w:rsidR="59BD4447" w:rsidRDefault="59BD4447" w:rsidP="68D41FDE">
            <w:pPr>
              <w:jc w:val="center"/>
            </w:pPr>
            <w:r>
              <w:rPr>
                <w:noProof/>
              </w:rPr>
              <w:drawing>
                <wp:inline distT="0" distB="0" distL="0" distR="0" wp14:anchorId="54E31454" wp14:editId="578C21DB">
                  <wp:extent cx="2124075" cy="2466975"/>
                  <wp:effectExtent l="0" t="0" r="0" b="0"/>
                  <wp:docPr id="14731135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113597" name="Picture 1473113597"/>
                          <pic:cNvPicPr/>
                        </pic:nvPicPr>
                        <pic:blipFill>
                          <a:blip r:embed="rId45">
                            <a:extLst>
                              <a:ext uri="{28A0092B-C50C-407E-A947-70E740481C1C}">
                                <a14:useLocalDpi xmlns:a14="http://schemas.microsoft.com/office/drawing/2010/main"/>
                              </a:ext>
                            </a:extLst>
                          </a:blip>
                          <a:stretch>
                            <a:fillRect/>
                          </a:stretch>
                        </pic:blipFill>
                        <pic:spPr>
                          <a:xfrm>
                            <a:off x="0" y="0"/>
                            <a:ext cx="2124075" cy="2466975"/>
                          </a:xfrm>
                          <a:prstGeom prst="rect">
                            <a:avLst/>
                          </a:prstGeom>
                        </pic:spPr>
                      </pic:pic>
                    </a:graphicData>
                  </a:graphic>
                </wp:inline>
              </w:drawing>
            </w:r>
          </w:p>
        </w:tc>
        <w:tc>
          <w:tcPr>
            <w:tcW w:w="3953" w:type="dxa"/>
          </w:tcPr>
          <w:p w14:paraId="1CEA688F" w14:textId="25A7D9C6"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Necesidad  </w:t>
            </w:r>
          </w:p>
          <w:p w14:paraId="53FA729F" w14:textId="513C655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Luminaria solar Demostrar aplicaciones de iluminación autónoma mediante energía solar.   </w:t>
            </w:r>
          </w:p>
          <w:p w14:paraId="193295EB" w14:textId="7AAABC28" w:rsidR="59BD4447" w:rsidRDefault="59BD4447" w:rsidP="3C234025">
            <w:pPr>
              <w:jc w:val="both"/>
              <w:rPr>
                <w:rFonts w:asciiTheme="minorHAnsi" w:eastAsiaTheme="minorEastAsia" w:hAnsiTheme="minorHAnsi" w:cstheme="minorBidi"/>
                <w:sz w:val="20"/>
                <w:szCs w:val="20"/>
              </w:rPr>
            </w:pPr>
          </w:p>
          <w:p w14:paraId="6FEBC7AB" w14:textId="256A404E"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Características técnicas de referencia   </w:t>
            </w:r>
          </w:p>
          <w:p w14:paraId="30C01537" w14:textId="07E44D6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de iluminación LED alimentado por panel fotovoltaico con batería integrada y potencia aproximada ≥30–50 W. Luminaria solar integrada tipo todo en uno con potencia aproximada de 200 W y grado de protección IP66.</w:t>
            </w:r>
          </w:p>
        </w:tc>
      </w:tr>
      <w:tr w:rsidR="59BD4447" w14:paraId="3CCA4C99" w14:textId="77777777" w:rsidTr="6F1EDA97">
        <w:trPr>
          <w:trHeight w:val="300"/>
        </w:trPr>
        <w:tc>
          <w:tcPr>
            <w:tcW w:w="630" w:type="dxa"/>
          </w:tcPr>
          <w:p w14:paraId="32A4E9DA" w14:textId="52D0C72F" w:rsidR="580CD35A" w:rsidRDefault="1F5B2E2F" w:rsidP="62C29527">
            <w:r>
              <w:t>9</w:t>
            </w:r>
          </w:p>
        </w:tc>
        <w:tc>
          <w:tcPr>
            <w:tcW w:w="5167" w:type="dxa"/>
          </w:tcPr>
          <w:p w14:paraId="2A3D29ED" w14:textId="0856B446" w:rsidR="59BD4447" w:rsidRDefault="59BD4447" w:rsidP="59BD4447">
            <w:r>
              <w:rPr>
                <w:noProof/>
              </w:rPr>
              <w:drawing>
                <wp:inline distT="0" distB="0" distL="0" distR="0" wp14:anchorId="3C26B6DE" wp14:editId="6AD78AA0">
                  <wp:extent cx="914400" cy="2466975"/>
                  <wp:effectExtent l="0" t="0" r="0" b="0"/>
                  <wp:docPr id="3055726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72649" name="Picture 305572649"/>
                          <pic:cNvPicPr/>
                        </pic:nvPicPr>
                        <pic:blipFill>
                          <a:blip r:embed="rId46">
                            <a:extLst>
                              <a:ext uri="{28A0092B-C50C-407E-A947-70E740481C1C}">
                                <a14:useLocalDpi xmlns:a14="http://schemas.microsoft.com/office/drawing/2010/main"/>
                              </a:ext>
                            </a:extLst>
                          </a:blip>
                          <a:stretch>
                            <a:fillRect/>
                          </a:stretch>
                        </pic:blipFill>
                        <pic:spPr>
                          <a:xfrm>
                            <a:off x="0" y="0"/>
                            <a:ext cx="914400" cy="2466975"/>
                          </a:xfrm>
                          <a:prstGeom prst="rect">
                            <a:avLst/>
                          </a:prstGeom>
                        </pic:spPr>
                      </pic:pic>
                    </a:graphicData>
                  </a:graphic>
                </wp:inline>
              </w:drawing>
            </w:r>
            <w:r>
              <w:rPr>
                <w:noProof/>
              </w:rPr>
              <w:drawing>
                <wp:inline distT="0" distB="0" distL="0" distR="0" wp14:anchorId="1BDAD04D" wp14:editId="15A6EFD9">
                  <wp:extent cx="1857375" cy="2466975"/>
                  <wp:effectExtent l="0" t="0" r="0" b="0"/>
                  <wp:docPr id="10284993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99397" name="Picture 1028499397"/>
                          <pic:cNvPicPr/>
                        </pic:nvPicPr>
                        <pic:blipFill>
                          <a:blip r:embed="rId47">
                            <a:extLst>
                              <a:ext uri="{28A0092B-C50C-407E-A947-70E740481C1C}">
                                <a14:useLocalDpi xmlns:a14="http://schemas.microsoft.com/office/drawing/2010/main"/>
                              </a:ext>
                            </a:extLst>
                          </a:blip>
                          <a:stretch>
                            <a:fillRect/>
                          </a:stretch>
                        </pic:blipFill>
                        <pic:spPr>
                          <a:xfrm>
                            <a:off x="0" y="0"/>
                            <a:ext cx="1857375" cy="2466975"/>
                          </a:xfrm>
                          <a:prstGeom prst="rect">
                            <a:avLst/>
                          </a:prstGeom>
                        </pic:spPr>
                      </pic:pic>
                    </a:graphicData>
                  </a:graphic>
                </wp:inline>
              </w:drawing>
            </w:r>
            <w:r>
              <w:rPr>
                <w:noProof/>
              </w:rPr>
              <w:drawing>
                <wp:inline distT="0" distB="0" distL="0" distR="0" wp14:anchorId="3523A93D" wp14:editId="5D5EAA1A">
                  <wp:extent cx="1047750" cy="2466975"/>
                  <wp:effectExtent l="0" t="0" r="0" b="0"/>
                  <wp:docPr id="18486456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645610" name="Picture 1848645610"/>
                          <pic:cNvPicPr/>
                        </pic:nvPicPr>
                        <pic:blipFill>
                          <a:blip r:embed="rId48">
                            <a:extLst>
                              <a:ext uri="{28A0092B-C50C-407E-A947-70E740481C1C}">
                                <a14:useLocalDpi xmlns:a14="http://schemas.microsoft.com/office/drawing/2010/main"/>
                              </a:ext>
                            </a:extLst>
                          </a:blip>
                          <a:stretch>
                            <a:fillRect/>
                          </a:stretch>
                        </pic:blipFill>
                        <pic:spPr>
                          <a:xfrm>
                            <a:off x="0" y="0"/>
                            <a:ext cx="1047750" cy="2466975"/>
                          </a:xfrm>
                          <a:prstGeom prst="rect">
                            <a:avLst/>
                          </a:prstGeom>
                        </pic:spPr>
                      </pic:pic>
                    </a:graphicData>
                  </a:graphic>
                </wp:inline>
              </w:drawing>
            </w:r>
          </w:p>
        </w:tc>
        <w:tc>
          <w:tcPr>
            <w:tcW w:w="3953" w:type="dxa"/>
          </w:tcPr>
          <w:p w14:paraId="66B97AD6" w14:textId="4AA14E3B"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Necesidad  </w:t>
            </w:r>
          </w:p>
          <w:p w14:paraId="56CD2CC6" w14:textId="759918D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Kit de bombeo solar Permitir el estudio de aplicaciones de bombeo de agua con energía solar.   </w:t>
            </w:r>
          </w:p>
          <w:p w14:paraId="621FBF95" w14:textId="1915CF64" w:rsidR="59BD4447" w:rsidRDefault="59BD4447" w:rsidP="3C234025">
            <w:pPr>
              <w:jc w:val="both"/>
              <w:rPr>
                <w:rFonts w:asciiTheme="minorHAnsi" w:eastAsiaTheme="minorEastAsia" w:hAnsiTheme="minorHAnsi" w:cstheme="minorBidi"/>
                <w:sz w:val="20"/>
                <w:szCs w:val="20"/>
              </w:rPr>
            </w:pPr>
          </w:p>
          <w:p w14:paraId="341BB6CE" w14:textId="3CD6A55C"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Características técnicas de referencia   </w:t>
            </w:r>
          </w:p>
          <w:p w14:paraId="71888CBB" w14:textId="00379AC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de bombeo alimentado por energía solar con bomba DC o AC ≥200–500 W y sistema de recirculación para prácticas de laboratorio. Electrobomba solar de aproximadamente 400 W, voltaje de operación cercano a 24 VDC, controlador PWM, estructura metálica de soporte y gabinete con protecciones y cableado, con flujo máximo aproximado de 2.5 m³/h.</w:t>
            </w:r>
          </w:p>
        </w:tc>
      </w:tr>
      <w:tr w:rsidR="59BD4447" w14:paraId="3250FFD7" w14:textId="77777777" w:rsidTr="6F1EDA97">
        <w:trPr>
          <w:trHeight w:val="300"/>
        </w:trPr>
        <w:tc>
          <w:tcPr>
            <w:tcW w:w="630" w:type="dxa"/>
          </w:tcPr>
          <w:p w14:paraId="4152E14F" w14:textId="495A3915" w:rsidR="29ACDE78" w:rsidRDefault="32797BB9" w:rsidP="62C29527">
            <w:r>
              <w:t>1</w:t>
            </w:r>
            <w:r w:rsidR="74574934">
              <w:t>0</w:t>
            </w:r>
          </w:p>
        </w:tc>
        <w:tc>
          <w:tcPr>
            <w:tcW w:w="5167" w:type="dxa"/>
          </w:tcPr>
          <w:p w14:paraId="0A1A2D3C" w14:textId="6FD7F22E" w:rsidR="59BD4447" w:rsidRDefault="59BD4447" w:rsidP="59BD4447">
            <w:r>
              <w:rPr>
                <w:noProof/>
              </w:rPr>
              <w:drawing>
                <wp:inline distT="0" distB="0" distL="0" distR="0" wp14:anchorId="4CF4E9DD" wp14:editId="308D60E5">
                  <wp:extent cx="2466975" cy="1581150"/>
                  <wp:effectExtent l="0" t="0" r="0" b="0"/>
                  <wp:docPr id="3585172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17220" name="Picture 358517220"/>
                          <pic:cNvPicPr/>
                        </pic:nvPicPr>
                        <pic:blipFill>
                          <a:blip r:embed="rId49">
                            <a:extLst>
                              <a:ext uri="{28A0092B-C50C-407E-A947-70E740481C1C}">
                                <a14:useLocalDpi xmlns:a14="http://schemas.microsoft.com/office/drawing/2010/main"/>
                              </a:ext>
                            </a:extLst>
                          </a:blip>
                          <a:stretch>
                            <a:fillRect/>
                          </a:stretch>
                        </pic:blipFill>
                        <pic:spPr>
                          <a:xfrm>
                            <a:off x="0" y="0"/>
                            <a:ext cx="2466975" cy="1581150"/>
                          </a:xfrm>
                          <a:prstGeom prst="rect">
                            <a:avLst/>
                          </a:prstGeom>
                        </pic:spPr>
                      </pic:pic>
                    </a:graphicData>
                  </a:graphic>
                </wp:inline>
              </w:drawing>
            </w:r>
            <w:r>
              <w:rPr>
                <w:noProof/>
              </w:rPr>
              <w:drawing>
                <wp:inline distT="0" distB="0" distL="0" distR="0" wp14:anchorId="1847966D" wp14:editId="3E9B518A">
                  <wp:extent cx="2466975" cy="1628775"/>
                  <wp:effectExtent l="0" t="0" r="0" b="0"/>
                  <wp:docPr id="5657722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772239" name="Picture 565772239"/>
                          <pic:cNvPicPr/>
                        </pic:nvPicPr>
                        <pic:blipFill>
                          <a:blip r:embed="rId50">
                            <a:extLst>
                              <a:ext uri="{28A0092B-C50C-407E-A947-70E740481C1C}">
                                <a14:useLocalDpi xmlns:a14="http://schemas.microsoft.com/office/drawing/2010/main"/>
                              </a:ext>
                            </a:extLst>
                          </a:blip>
                          <a:stretch>
                            <a:fillRect/>
                          </a:stretch>
                        </pic:blipFill>
                        <pic:spPr>
                          <a:xfrm>
                            <a:off x="0" y="0"/>
                            <a:ext cx="2466975" cy="1628775"/>
                          </a:xfrm>
                          <a:prstGeom prst="rect">
                            <a:avLst/>
                          </a:prstGeom>
                        </pic:spPr>
                      </pic:pic>
                    </a:graphicData>
                  </a:graphic>
                </wp:inline>
              </w:drawing>
            </w:r>
          </w:p>
        </w:tc>
        <w:tc>
          <w:tcPr>
            <w:tcW w:w="3953" w:type="dxa"/>
          </w:tcPr>
          <w:p w14:paraId="0D36AE59" w14:textId="2D10AE45"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Necesidad  </w:t>
            </w:r>
          </w:p>
          <w:p w14:paraId="2832CADF" w14:textId="3DECC3C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Kit cercas solares Demostrar aplicaciones rurales de sistemas solares autónomos.  </w:t>
            </w:r>
          </w:p>
          <w:p w14:paraId="56328E74" w14:textId="55F32C1C" w:rsidR="59BD4447" w:rsidRDefault="59BD4447" w:rsidP="3C234025">
            <w:pPr>
              <w:jc w:val="both"/>
              <w:rPr>
                <w:rFonts w:asciiTheme="minorHAnsi" w:eastAsiaTheme="minorEastAsia" w:hAnsiTheme="minorHAnsi" w:cstheme="minorBidi"/>
                <w:sz w:val="20"/>
                <w:szCs w:val="20"/>
              </w:rPr>
            </w:pPr>
          </w:p>
          <w:p w14:paraId="5AF626A8" w14:textId="3FD5D2E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 xml:space="preserve">Características técnicas de referencia </w:t>
            </w:r>
            <w:r w:rsidRPr="3C234025">
              <w:rPr>
                <w:rFonts w:asciiTheme="minorHAnsi" w:eastAsiaTheme="minorEastAsia" w:hAnsiTheme="minorHAnsi" w:cstheme="minorBidi"/>
                <w:sz w:val="20"/>
                <w:szCs w:val="20"/>
              </w:rPr>
              <w:t xml:space="preserve">  </w:t>
            </w:r>
          </w:p>
          <w:p w14:paraId="536D1061" w14:textId="1E812DA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de cercado eléctrico alimentado por energía solar con módulo PV de 200 W, controlador de carga y batería. Sistema con voltaje de salida aproximado de 10.000 V, energía de salida aproximada de 0.5 J, alcance de hasta 15 km, cobertura aproximada de 18 ha y frecuencia de pulsos cercana a 55 pulsos por minuto.</w:t>
            </w:r>
          </w:p>
        </w:tc>
      </w:tr>
      <w:tr w:rsidR="59BD4447" w14:paraId="6FBD3611" w14:textId="77777777" w:rsidTr="6F1EDA97">
        <w:trPr>
          <w:trHeight w:val="300"/>
        </w:trPr>
        <w:tc>
          <w:tcPr>
            <w:tcW w:w="630" w:type="dxa"/>
          </w:tcPr>
          <w:p w14:paraId="511C068D" w14:textId="11B42EBC" w:rsidR="29ACDE78" w:rsidRDefault="32797BB9" w:rsidP="62C29527">
            <w:r>
              <w:t>1</w:t>
            </w:r>
            <w:r w:rsidR="56AA3EE6">
              <w:t>1</w:t>
            </w:r>
          </w:p>
        </w:tc>
        <w:tc>
          <w:tcPr>
            <w:tcW w:w="5167" w:type="dxa"/>
          </w:tcPr>
          <w:p w14:paraId="51FADA0F" w14:textId="4E9AB971" w:rsidR="59BD4447" w:rsidRDefault="59BD4447" w:rsidP="59BD4447">
            <w:r>
              <w:rPr>
                <w:noProof/>
              </w:rPr>
              <w:drawing>
                <wp:inline distT="0" distB="0" distL="0" distR="0" wp14:anchorId="1E01EC80" wp14:editId="48620C69">
                  <wp:extent cx="2466975" cy="1314450"/>
                  <wp:effectExtent l="0" t="0" r="0" b="0"/>
                  <wp:docPr id="817964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6450" name="Picture 81796450"/>
                          <pic:cNvPicPr/>
                        </pic:nvPicPr>
                        <pic:blipFill>
                          <a:blip r:embed="rId51">
                            <a:extLst>
                              <a:ext uri="{28A0092B-C50C-407E-A947-70E740481C1C}">
                                <a14:useLocalDpi xmlns:a14="http://schemas.microsoft.com/office/drawing/2010/main"/>
                              </a:ext>
                            </a:extLst>
                          </a:blip>
                          <a:stretch>
                            <a:fillRect/>
                          </a:stretch>
                        </pic:blipFill>
                        <pic:spPr>
                          <a:xfrm>
                            <a:off x="0" y="0"/>
                            <a:ext cx="2466975" cy="1314450"/>
                          </a:xfrm>
                          <a:prstGeom prst="rect">
                            <a:avLst/>
                          </a:prstGeom>
                        </pic:spPr>
                      </pic:pic>
                    </a:graphicData>
                  </a:graphic>
                </wp:inline>
              </w:drawing>
            </w:r>
          </w:p>
        </w:tc>
        <w:tc>
          <w:tcPr>
            <w:tcW w:w="3953" w:type="dxa"/>
          </w:tcPr>
          <w:p w14:paraId="64920626" w14:textId="3AB7E90E"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Necesidad  </w:t>
            </w:r>
          </w:p>
          <w:p w14:paraId="6CA589C4" w14:textId="55B26EE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Kit de camping solar Mostrar aplicaciones portátiles de generación solar para pequeñas cargas.   </w:t>
            </w:r>
          </w:p>
          <w:p w14:paraId="3FF4A32A" w14:textId="26F8FB6C" w:rsidR="59BD4447" w:rsidRDefault="59BD4447" w:rsidP="3C234025">
            <w:pPr>
              <w:jc w:val="both"/>
              <w:rPr>
                <w:rFonts w:asciiTheme="minorHAnsi" w:eastAsiaTheme="minorEastAsia" w:hAnsiTheme="minorHAnsi" w:cstheme="minorBidi"/>
                <w:sz w:val="20"/>
                <w:szCs w:val="20"/>
              </w:rPr>
            </w:pPr>
          </w:p>
          <w:p w14:paraId="38E7D9AC" w14:textId="7F75EF0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 xml:space="preserve">Características técnicas de referencia </w:t>
            </w:r>
            <w:r w:rsidRPr="3C234025">
              <w:rPr>
                <w:rFonts w:asciiTheme="minorHAnsi" w:eastAsiaTheme="minorEastAsia" w:hAnsiTheme="minorHAnsi" w:cstheme="minorBidi"/>
                <w:sz w:val="20"/>
                <w:szCs w:val="20"/>
              </w:rPr>
              <w:t xml:space="preserve">  </w:t>
            </w:r>
          </w:p>
          <w:p w14:paraId="13C44C6D" w14:textId="1537635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portátil con panel solar plegable, batería integrada y salidas DC o USB para alimentación de cargas pequeñas. Batería aproximada de 6 V y 7000 mAh, panel solar de aproximadamente 10 W, dos bombillos LED de 3 W, puerto USB de 5 V y lámpara LED integrada de aproximadamente 1 W.</w:t>
            </w:r>
          </w:p>
        </w:tc>
      </w:tr>
      <w:tr w:rsidR="59BD4447" w14:paraId="79178A89" w14:textId="77777777" w:rsidTr="6F1EDA97">
        <w:trPr>
          <w:trHeight w:val="300"/>
        </w:trPr>
        <w:tc>
          <w:tcPr>
            <w:tcW w:w="630" w:type="dxa"/>
          </w:tcPr>
          <w:p w14:paraId="63B6E733" w14:textId="5B496258" w:rsidR="0E41BF14" w:rsidRDefault="1694B767" w:rsidP="62C29527">
            <w:r>
              <w:t>1</w:t>
            </w:r>
            <w:r w:rsidR="4F4F0F3B">
              <w:t>2</w:t>
            </w:r>
          </w:p>
        </w:tc>
        <w:tc>
          <w:tcPr>
            <w:tcW w:w="5167" w:type="dxa"/>
          </w:tcPr>
          <w:p w14:paraId="7F7B9A49" w14:textId="3300BE74" w:rsidR="59BD4447" w:rsidRDefault="59BD4447" w:rsidP="59BD4447">
            <w:r>
              <w:rPr>
                <w:noProof/>
              </w:rPr>
              <w:drawing>
                <wp:inline distT="0" distB="0" distL="0" distR="0" wp14:anchorId="24841A90" wp14:editId="136F0E83">
                  <wp:extent cx="2466975" cy="2066925"/>
                  <wp:effectExtent l="0" t="0" r="0" b="0"/>
                  <wp:docPr id="16998511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51164" name="Picture 1699851164"/>
                          <pic:cNvPicPr/>
                        </pic:nvPicPr>
                        <pic:blipFill>
                          <a:blip r:embed="rId52">
                            <a:extLst>
                              <a:ext uri="{28A0092B-C50C-407E-A947-70E740481C1C}">
                                <a14:useLocalDpi xmlns:a14="http://schemas.microsoft.com/office/drawing/2010/main"/>
                              </a:ext>
                            </a:extLst>
                          </a:blip>
                          <a:stretch>
                            <a:fillRect/>
                          </a:stretch>
                        </pic:blipFill>
                        <pic:spPr>
                          <a:xfrm>
                            <a:off x="0" y="0"/>
                            <a:ext cx="2466975" cy="2066925"/>
                          </a:xfrm>
                          <a:prstGeom prst="rect">
                            <a:avLst/>
                          </a:prstGeom>
                        </pic:spPr>
                      </pic:pic>
                    </a:graphicData>
                  </a:graphic>
                </wp:inline>
              </w:drawing>
            </w:r>
          </w:p>
        </w:tc>
        <w:tc>
          <w:tcPr>
            <w:tcW w:w="3953" w:type="dxa"/>
          </w:tcPr>
          <w:p w14:paraId="7F1BD1B5" w14:textId="6B1C7283"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Necesidad  </w:t>
            </w:r>
          </w:p>
          <w:p w14:paraId="1621068D" w14:textId="00CD496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Medidor de disponibilidad de energía Permitir el monitoreo de generación y consumo energético del sistema fotovoltaico.   </w:t>
            </w:r>
          </w:p>
          <w:p w14:paraId="012F8988" w14:textId="300CFF06" w:rsidR="59BD4447" w:rsidRDefault="59BD4447" w:rsidP="3C234025">
            <w:pPr>
              <w:jc w:val="both"/>
              <w:rPr>
                <w:rFonts w:asciiTheme="minorHAnsi" w:eastAsiaTheme="minorEastAsia" w:hAnsiTheme="minorHAnsi" w:cstheme="minorBidi"/>
                <w:sz w:val="20"/>
                <w:szCs w:val="20"/>
              </w:rPr>
            </w:pPr>
          </w:p>
          <w:p w14:paraId="09F9488E" w14:textId="65FA360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 xml:space="preserve">Características técnicas de referencia </w:t>
            </w:r>
            <w:r w:rsidRPr="3C234025">
              <w:rPr>
                <w:rFonts w:asciiTheme="minorHAnsi" w:eastAsiaTheme="minorEastAsia" w:hAnsiTheme="minorHAnsi" w:cstheme="minorBidi"/>
                <w:sz w:val="20"/>
                <w:szCs w:val="20"/>
              </w:rPr>
              <w:t xml:space="preserve">  </w:t>
            </w:r>
          </w:p>
          <w:p w14:paraId="4D46BC3E" w14:textId="4241D2FC"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Analizador de energía capaz de medir voltaje, corriente, potencia activa/reactiva, factor de potencia y energía acumulada. Equipo de monitoreo capaz de recolectar y almacenar datos de la planta, controlar parámetros del sistema, generar alertas y permitir intercambio de datos inalámbrico para análisis del comportamiento del sistema fotovoltaico.</w:t>
            </w:r>
          </w:p>
        </w:tc>
      </w:tr>
      <w:tr w:rsidR="59BD4447" w14:paraId="6FFDDC4E" w14:textId="77777777" w:rsidTr="6F1EDA97">
        <w:trPr>
          <w:trHeight w:val="300"/>
        </w:trPr>
        <w:tc>
          <w:tcPr>
            <w:tcW w:w="630" w:type="dxa"/>
          </w:tcPr>
          <w:p w14:paraId="48E36CF4" w14:textId="6872E7FF" w:rsidR="052E8DF7" w:rsidRDefault="373F0B39" w:rsidP="62C29527">
            <w:r>
              <w:t>1</w:t>
            </w:r>
            <w:r w:rsidR="5C5A4B21">
              <w:t>3</w:t>
            </w:r>
          </w:p>
        </w:tc>
        <w:tc>
          <w:tcPr>
            <w:tcW w:w="5167" w:type="dxa"/>
          </w:tcPr>
          <w:p w14:paraId="5E14BF37" w14:textId="230B7577" w:rsidR="59BD4447" w:rsidRDefault="59BD4447" w:rsidP="59BD4447">
            <w:r>
              <w:rPr>
                <w:noProof/>
              </w:rPr>
              <w:drawing>
                <wp:inline distT="0" distB="0" distL="0" distR="0" wp14:anchorId="68B4D0F7" wp14:editId="75819096">
                  <wp:extent cx="1800225" cy="2466975"/>
                  <wp:effectExtent l="0" t="0" r="0" b="0"/>
                  <wp:docPr id="7478620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62011" name="Picture 747862011"/>
                          <pic:cNvPicPr/>
                        </pic:nvPicPr>
                        <pic:blipFill>
                          <a:blip r:embed="rId53">
                            <a:extLst>
                              <a:ext uri="{28A0092B-C50C-407E-A947-70E740481C1C}">
                                <a14:useLocalDpi xmlns:a14="http://schemas.microsoft.com/office/drawing/2010/main"/>
                              </a:ext>
                            </a:extLst>
                          </a:blip>
                          <a:stretch>
                            <a:fillRect/>
                          </a:stretch>
                        </pic:blipFill>
                        <pic:spPr>
                          <a:xfrm>
                            <a:off x="0" y="0"/>
                            <a:ext cx="1800225" cy="2466975"/>
                          </a:xfrm>
                          <a:prstGeom prst="rect">
                            <a:avLst/>
                          </a:prstGeom>
                        </pic:spPr>
                      </pic:pic>
                    </a:graphicData>
                  </a:graphic>
                </wp:inline>
              </w:drawing>
            </w:r>
          </w:p>
          <w:p w14:paraId="6202607A" w14:textId="1BBD078B" w:rsidR="59BD4447" w:rsidRDefault="59BD4447" w:rsidP="59BD4447">
            <w:r>
              <w:rPr>
                <w:noProof/>
              </w:rPr>
              <w:drawing>
                <wp:inline distT="0" distB="0" distL="0" distR="0" wp14:anchorId="5FFE3961" wp14:editId="607ED7A5">
                  <wp:extent cx="2466975" cy="2133600"/>
                  <wp:effectExtent l="0" t="0" r="0" b="0"/>
                  <wp:docPr id="9480944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90834" name="Picture 549690834"/>
                          <pic:cNvPicPr/>
                        </pic:nvPicPr>
                        <pic:blipFill>
                          <a:blip r:embed="rId54">
                            <a:extLst>
                              <a:ext uri="{28A0092B-C50C-407E-A947-70E740481C1C}">
                                <a14:useLocalDpi xmlns:a14="http://schemas.microsoft.com/office/drawing/2010/main"/>
                              </a:ext>
                            </a:extLst>
                          </a:blip>
                          <a:stretch>
                            <a:fillRect/>
                          </a:stretch>
                        </pic:blipFill>
                        <pic:spPr>
                          <a:xfrm>
                            <a:off x="0" y="0"/>
                            <a:ext cx="2466975" cy="2133600"/>
                          </a:xfrm>
                          <a:prstGeom prst="rect">
                            <a:avLst/>
                          </a:prstGeom>
                        </pic:spPr>
                      </pic:pic>
                    </a:graphicData>
                  </a:graphic>
                </wp:inline>
              </w:drawing>
            </w:r>
          </w:p>
          <w:p w14:paraId="4538E09A" w14:textId="7EB8F3FD" w:rsidR="59BD4447" w:rsidRDefault="59BD4447" w:rsidP="59BD4447">
            <w:r>
              <w:rPr>
                <w:noProof/>
              </w:rPr>
              <w:drawing>
                <wp:inline distT="0" distB="0" distL="0" distR="0" wp14:anchorId="1FDE7A0B" wp14:editId="6852340A">
                  <wp:extent cx="2466975" cy="1619250"/>
                  <wp:effectExtent l="0" t="0" r="0" b="0"/>
                  <wp:docPr id="19214693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469379" name="Picture 1921469379"/>
                          <pic:cNvPicPr/>
                        </pic:nvPicPr>
                        <pic:blipFill>
                          <a:blip r:embed="rId55">
                            <a:extLst>
                              <a:ext uri="{28A0092B-C50C-407E-A947-70E740481C1C}">
                                <a14:useLocalDpi xmlns:a14="http://schemas.microsoft.com/office/drawing/2010/main"/>
                              </a:ext>
                            </a:extLst>
                          </a:blip>
                          <a:stretch>
                            <a:fillRect/>
                          </a:stretch>
                        </pic:blipFill>
                        <pic:spPr>
                          <a:xfrm>
                            <a:off x="0" y="0"/>
                            <a:ext cx="2466975" cy="1619250"/>
                          </a:xfrm>
                          <a:prstGeom prst="rect">
                            <a:avLst/>
                          </a:prstGeom>
                        </pic:spPr>
                      </pic:pic>
                    </a:graphicData>
                  </a:graphic>
                </wp:inline>
              </w:drawing>
            </w:r>
          </w:p>
          <w:p w14:paraId="31771003" w14:textId="3ED6B7C7" w:rsidR="59BD4447" w:rsidRDefault="59BD4447" w:rsidP="59BD4447">
            <w:r>
              <w:rPr>
                <w:noProof/>
              </w:rPr>
              <w:drawing>
                <wp:inline distT="0" distB="0" distL="0" distR="0" wp14:anchorId="680EFAB5" wp14:editId="531BE046">
                  <wp:extent cx="2466975" cy="1695450"/>
                  <wp:effectExtent l="0" t="0" r="0" b="0"/>
                  <wp:docPr id="9709951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995144" name="Picture 970995144"/>
                          <pic:cNvPicPr/>
                        </pic:nvPicPr>
                        <pic:blipFill>
                          <a:blip r:embed="rId56">
                            <a:extLst>
                              <a:ext uri="{28A0092B-C50C-407E-A947-70E740481C1C}">
                                <a14:useLocalDpi xmlns:a14="http://schemas.microsoft.com/office/drawing/2010/main"/>
                              </a:ext>
                            </a:extLst>
                          </a:blip>
                          <a:stretch>
                            <a:fillRect/>
                          </a:stretch>
                        </pic:blipFill>
                        <pic:spPr>
                          <a:xfrm>
                            <a:off x="0" y="0"/>
                            <a:ext cx="2466975" cy="1695450"/>
                          </a:xfrm>
                          <a:prstGeom prst="rect">
                            <a:avLst/>
                          </a:prstGeom>
                        </pic:spPr>
                      </pic:pic>
                    </a:graphicData>
                  </a:graphic>
                </wp:inline>
              </w:drawing>
            </w:r>
          </w:p>
          <w:p w14:paraId="45B4996D" w14:textId="5372C68C" w:rsidR="59BD4447" w:rsidRDefault="59BD4447" w:rsidP="59BD4447"/>
        </w:tc>
        <w:tc>
          <w:tcPr>
            <w:tcW w:w="3953" w:type="dxa"/>
          </w:tcPr>
          <w:p w14:paraId="2A958B1C" w14:textId="074FF1A2"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Necesidad  </w:t>
            </w:r>
          </w:p>
          <w:p w14:paraId="52E7A44C" w14:textId="4A8CDA1C"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Equipos de medición (multímetro, pinza, osciloscopio, termográfica) Permitir mediciones eléctricas y diagnóstico de sistemas solares.   </w:t>
            </w:r>
          </w:p>
          <w:p w14:paraId="3A8469AC" w14:textId="4275DCA4" w:rsidR="59BD4447" w:rsidRDefault="59BD4447" w:rsidP="3C234025">
            <w:pPr>
              <w:jc w:val="both"/>
              <w:rPr>
                <w:rFonts w:asciiTheme="minorHAnsi" w:eastAsiaTheme="minorEastAsia" w:hAnsiTheme="minorHAnsi" w:cstheme="minorBidi"/>
                <w:sz w:val="20"/>
                <w:szCs w:val="20"/>
              </w:rPr>
            </w:pPr>
          </w:p>
          <w:p w14:paraId="1F4A1AB3" w14:textId="3F8A5508"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Características técnicas de referencia   </w:t>
            </w:r>
          </w:p>
          <w:p w14:paraId="4C1CC7B2" w14:textId="2BC0933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Multímetro TRMS 60mV-1000V Pinza amperimétrica AC/DC Osciloscopio ≥50 MHz Cámara termográfica para análisis térmico de componentes eléctricos. Multímetro con rango de voltaje DC aproximado de 60 mV a 1000 V y AC hasta 750 V, corriente DC/AC hasta 10 A, medición de resistencia hasta aproximadamente 220 MΩ y frecuencia hasta 10 MHz. Osciloscopio con ancho de banda aproximado de 100 MHz y medición de parámetros como Vpp, Vrms, frecuencia y ciclo de trabajo. Cámara termográfica con rango aproximado de temperatura entre -20 °C y 400 °C y captura de imágenes. Pinza amperimétrica con medición de corriente AC hasta aproximadamente 600 A y voltaje hasta 600 V.</w:t>
            </w:r>
          </w:p>
        </w:tc>
      </w:tr>
      <w:tr w:rsidR="59BD4447" w14:paraId="148456C5" w14:textId="77777777" w:rsidTr="6F1EDA97">
        <w:trPr>
          <w:trHeight w:val="300"/>
        </w:trPr>
        <w:tc>
          <w:tcPr>
            <w:tcW w:w="630" w:type="dxa"/>
          </w:tcPr>
          <w:p w14:paraId="491FB69B" w14:textId="1787A54F" w:rsidR="052E8DF7" w:rsidRDefault="373F0B39" w:rsidP="62C29527">
            <w:r>
              <w:t>1</w:t>
            </w:r>
            <w:r w:rsidR="7B6FFFC9">
              <w:t>4</w:t>
            </w:r>
          </w:p>
        </w:tc>
        <w:tc>
          <w:tcPr>
            <w:tcW w:w="5167" w:type="dxa"/>
          </w:tcPr>
          <w:p w14:paraId="60A17FCD" w14:textId="24AB62DB" w:rsidR="59BD4447" w:rsidRDefault="59BD4447" w:rsidP="59BD4447">
            <w:r>
              <w:rPr>
                <w:noProof/>
              </w:rPr>
              <w:drawing>
                <wp:inline distT="0" distB="0" distL="0" distR="0" wp14:anchorId="2B779D08" wp14:editId="63EA6FF4">
                  <wp:extent cx="1571625" cy="2466975"/>
                  <wp:effectExtent l="0" t="0" r="0" b="0"/>
                  <wp:docPr id="14380487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048744" name="Picture 1438048744"/>
                          <pic:cNvPicPr/>
                        </pic:nvPicPr>
                        <pic:blipFill>
                          <a:blip r:embed="rId57">
                            <a:extLst>
                              <a:ext uri="{28A0092B-C50C-407E-A947-70E740481C1C}">
                                <a14:useLocalDpi xmlns:a14="http://schemas.microsoft.com/office/drawing/2010/main"/>
                              </a:ext>
                            </a:extLst>
                          </a:blip>
                          <a:stretch>
                            <a:fillRect/>
                          </a:stretch>
                        </pic:blipFill>
                        <pic:spPr>
                          <a:xfrm>
                            <a:off x="0" y="0"/>
                            <a:ext cx="1571625" cy="2466975"/>
                          </a:xfrm>
                          <a:prstGeom prst="rect">
                            <a:avLst/>
                          </a:prstGeom>
                        </pic:spPr>
                      </pic:pic>
                    </a:graphicData>
                  </a:graphic>
                </wp:inline>
              </w:drawing>
            </w:r>
          </w:p>
          <w:p w14:paraId="1AC06717" w14:textId="7517CA05" w:rsidR="59BD4447" w:rsidRDefault="59BD4447" w:rsidP="59BD4447">
            <w:r>
              <w:rPr>
                <w:noProof/>
              </w:rPr>
              <w:drawing>
                <wp:inline distT="0" distB="0" distL="0" distR="0" wp14:anchorId="7281F889" wp14:editId="21416DA7">
                  <wp:extent cx="2466975" cy="1800225"/>
                  <wp:effectExtent l="0" t="0" r="0" b="0"/>
                  <wp:docPr id="6737316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731607" name="Picture 673731607"/>
                          <pic:cNvPicPr/>
                        </pic:nvPicPr>
                        <pic:blipFill>
                          <a:blip r:embed="rId58">
                            <a:extLst>
                              <a:ext uri="{28A0092B-C50C-407E-A947-70E740481C1C}">
                                <a14:useLocalDpi xmlns:a14="http://schemas.microsoft.com/office/drawing/2010/main"/>
                              </a:ext>
                            </a:extLst>
                          </a:blip>
                          <a:stretch>
                            <a:fillRect/>
                          </a:stretch>
                        </pic:blipFill>
                        <pic:spPr>
                          <a:xfrm>
                            <a:off x="0" y="0"/>
                            <a:ext cx="2466975" cy="1800225"/>
                          </a:xfrm>
                          <a:prstGeom prst="rect">
                            <a:avLst/>
                          </a:prstGeom>
                        </pic:spPr>
                      </pic:pic>
                    </a:graphicData>
                  </a:graphic>
                </wp:inline>
              </w:drawing>
            </w:r>
          </w:p>
          <w:p w14:paraId="46F73287" w14:textId="5CF857A6" w:rsidR="59BD4447" w:rsidRDefault="59BD4447" w:rsidP="59BD4447">
            <w:r>
              <w:rPr>
                <w:noProof/>
              </w:rPr>
              <w:drawing>
                <wp:inline distT="0" distB="0" distL="0" distR="0" wp14:anchorId="124F7E03" wp14:editId="0B064015">
                  <wp:extent cx="1657581" cy="1905266"/>
                  <wp:effectExtent l="0" t="0" r="0" b="0"/>
                  <wp:docPr id="16563095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09554" name="Picture 1656309554"/>
                          <pic:cNvPicPr/>
                        </pic:nvPicPr>
                        <pic:blipFill>
                          <a:blip r:embed="rId59">
                            <a:extLst>
                              <a:ext uri="{28A0092B-C50C-407E-A947-70E740481C1C}">
                                <a14:useLocalDpi xmlns:a14="http://schemas.microsoft.com/office/drawing/2010/main"/>
                              </a:ext>
                            </a:extLst>
                          </a:blip>
                          <a:stretch>
                            <a:fillRect/>
                          </a:stretch>
                        </pic:blipFill>
                        <pic:spPr>
                          <a:xfrm>
                            <a:off x="0" y="0"/>
                            <a:ext cx="1657581" cy="1905266"/>
                          </a:xfrm>
                          <a:prstGeom prst="rect">
                            <a:avLst/>
                          </a:prstGeom>
                        </pic:spPr>
                      </pic:pic>
                    </a:graphicData>
                  </a:graphic>
                </wp:inline>
              </w:drawing>
            </w:r>
          </w:p>
          <w:p w14:paraId="3910FBDA" w14:textId="479DA7C4" w:rsidR="59BD4447" w:rsidRDefault="59BD4447" w:rsidP="59BD4447">
            <w:r>
              <w:rPr>
                <w:noProof/>
              </w:rPr>
              <w:drawing>
                <wp:inline distT="0" distB="0" distL="0" distR="0" wp14:anchorId="7C17B8BF" wp14:editId="3BF8281F">
                  <wp:extent cx="2466975" cy="600075"/>
                  <wp:effectExtent l="0" t="0" r="0" b="0"/>
                  <wp:docPr id="15498603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860388" name="Picture 1549860388"/>
                          <pic:cNvPicPr/>
                        </pic:nvPicPr>
                        <pic:blipFill>
                          <a:blip r:embed="rId60">
                            <a:extLst>
                              <a:ext uri="{28A0092B-C50C-407E-A947-70E740481C1C}">
                                <a14:useLocalDpi xmlns:a14="http://schemas.microsoft.com/office/drawing/2010/main"/>
                              </a:ext>
                            </a:extLst>
                          </a:blip>
                          <a:stretch>
                            <a:fillRect/>
                          </a:stretch>
                        </pic:blipFill>
                        <pic:spPr>
                          <a:xfrm>
                            <a:off x="0" y="0"/>
                            <a:ext cx="2466975" cy="600075"/>
                          </a:xfrm>
                          <a:prstGeom prst="rect">
                            <a:avLst/>
                          </a:prstGeom>
                        </pic:spPr>
                      </pic:pic>
                    </a:graphicData>
                  </a:graphic>
                </wp:inline>
              </w:drawing>
            </w:r>
          </w:p>
          <w:p w14:paraId="05D57ECC" w14:textId="4A40EFF7" w:rsidR="59BD4447" w:rsidRDefault="59BD4447" w:rsidP="59BD4447"/>
        </w:tc>
        <w:tc>
          <w:tcPr>
            <w:tcW w:w="3953" w:type="dxa"/>
          </w:tcPr>
          <w:p w14:paraId="72AADE46" w14:textId="20D2E9F2"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Necesidad  </w:t>
            </w:r>
          </w:p>
          <w:p w14:paraId="2980ADC2" w14:textId="7B12889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Computador – Permitir el monitoreo y análisis de datos energéticos y la ejecución de software especializado. El computador debe incluir teclado y mouse corporativo, adaptador de red Wifi y monitor con parlantes incorporados. </w:t>
            </w:r>
          </w:p>
          <w:p w14:paraId="7BFDC20A" w14:textId="2957D08A" w:rsidR="59BD4447" w:rsidRDefault="59BD4447" w:rsidP="3C234025">
            <w:pPr>
              <w:jc w:val="both"/>
              <w:rPr>
                <w:rFonts w:asciiTheme="minorHAnsi" w:eastAsiaTheme="minorEastAsia" w:hAnsiTheme="minorHAnsi" w:cstheme="minorBidi"/>
                <w:sz w:val="20"/>
                <w:szCs w:val="20"/>
              </w:rPr>
            </w:pPr>
          </w:p>
          <w:p w14:paraId="2F162800" w14:textId="08F6E2A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 xml:space="preserve">Características técnicas de referencia  </w:t>
            </w:r>
            <w:r w:rsidRPr="3C234025">
              <w:rPr>
                <w:rFonts w:asciiTheme="minorHAnsi" w:eastAsiaTheme="minorEastAsia" w:hAnsiTheme="minorHAnsi" w:cstheme="minorBidi"/>
                <w:sz w:val="20"/>
                <w:szCs w:val="20"/>
              </w:rPr>
              <w:t xml:space="preserve"> </w:t>
            </w:r>
          </w:p>
          <w:p w14:paraId="2357297F" w14:textId="70DEAB5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Procesador equivalente Intel i7 – 2 GHz o superior, memoria ≥8 GB RAM DDR4, almacenamiento SSD ≥512 GB, tarjeta de video ≥ 2GB D3H.</w:t>
            </w:r>
          </w:p>
          <w:p w14:paraId="1439C7A6" w14:textId="2F2BD3C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Televisor de mínimo 27”.</w:t>
            </w:r>
          </w:p>
        </w:tc>
      </w:tr>
      <w:tr w:rsidR="59BD4447" w14:paraId="276D6806" w14:textId="77777777" w:rsidTr="6F1EDA97">
        <w:trPr>
          <w:trHeight w:val="300"/>
        </w:trPr>
        <w:tc>
          <w:tcPr>
            <w:tcW w:w="630" w:type="dxa"/>
          </w:tcPr>
          <w:p w14:paraId="1A6AB19E" w14:textId="0A32173C" w:rsidR="604E91F4" w:rsidRDefault="2716804B" w:rsidP="62C29527">
            <w:r>
              <w:t>1</w:t>
            </w:r>
            <w:r w:rsidR="7F3D7B94">
              <w:t>5</w:t>
            </w:r>
          </w:p>
        </w:tc>
        <w:tc>
          <w:tcPr>
            <w:tcW w:w="5167" w:type="dxa"/>
          </w:tcPr>
          <w:p w14:paraId="73044AC5" w14:textId="7E82AFF0" w:rsidR="59BD4447" w:rsidRDefault="59BD4447" w:rsidP="59BD4447">
            <w:r>
              <w:rPr>
                <w:noProof/>
              </w:rPr>
              <w:drawing>
                <wp:inline distT="0" distB="0" distL="0" distR="0" wp14:anchorId="2923A72F" wp14:editId="143665A3">
                  <wp:extent cx="2466975" cy="1266825"/>
                  <wp:effectExtent l="0" t="0" r="0" b="0"/>
                  <wp:docPr id="21181088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08896" name="Picture 2118108896"/>
                          <pic:cNvPicPr/>
                        </pic:nvPicPr>
                        <pic:blipFill>
                          <a:blip r:embed="rId61">
                            <a:extLst>
                              <a:ext uri="{28A0092B-C50C-407E-A947-70E740481C1C}">
                                <a14:useLocalDpi xmlns:a14="http://schemas.microsoft.com/office/drawing/2010/main"/>
                              </a:ext>
                            </a:extLst>
                          </a:blip>
                          <a:stretch>
                            <a:fillRect/>
                          </a:stretch>
                        </pic:blipFill>
                        <pic:spPr>
                          <a:xfrm>
                            <a:off x="0" y="0"/>
                            <a:ext cx="2466975" cy="1266825"/>
                          </a:xfrm>
                          <a:prstGeom prst="rect">
                            <a:avLst/>
                          </a:prstGeom>
                        </pic:spPr>
                      </pic:pic>
                    </a:graphicData>
                  </a:graphic>
                </wp:inline>
              </w:drawing>
            </w:r>
          </w:p>
        </w:tc>
        <w:tc>
          <w:tcPr>
            <w:tcW w:w="3953" w:type="dxa"/>
          </w:tcPr>
          <w:p w14:paraId="18819081" w14:textId="43D187AD"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Necesidad  </w:t>
            </w:r>
          </w:p>
          <w:p w14:paraId="6E70AEFE" w14:textId="0F26A50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Kit herramientas de trabajo Permitir la instalación y mantenimiento de sistemas fotovoltaicos.  </w:t>
            </w:r>
          </w:p>
          <w:p w14:paraId="6C099614" w14:textId="0CAF8DE1" w:rsidR="59BD4447" w:rsidRDefault="59BD4447" w:rsidP="3C234025">
            <w:pPr>
              <w:jc w:val="both"/>
              <w:rPr>
                <w:rFonts w:asciiTheme="minorHAnsi" w:eastAsiaTheme="minorEastAsia" w:hAnsiTheme="minorHAnsi" w:cstheme="minorBidi"/>
                <w:sz w:val="20"/>
                <w:szCs w:val="20"/>
              </w:rPr>
            </w:pPr>
          </w:p>
          <w:p w14:paraId="64A6DDFD" w14:textId="0CBC271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 xml:space="preserve">Características técnicas de referencia  </w:t>
            </w:r>
            <w:r w:rsidRPr="3C234025">
              <w:rPr>
                <w:rFonts w:asciiTheme="minorHAnsi" w:eastAsiaTheme="minorEastAsia" w:hAnsiTheme="minorHAnsi" w:cstheme="minorBidi"/>
                <w:sz w:val="20"/>
                <w:szCs w:val="20"/>
              </w:rPr>
              <w:t xml:space="preserve"> </w:t>
            </w:r>
          </w:p>
          <w:p w14:paraId="65F1A6AA" w14:textId="42E802B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Conjunto de herramientas para trabajos eléctricos (destornilladores aislados, pelacables, crimpadoras (ponchadora), llaves bristol, alicates, pinzas, etc.).</w:t>
            </w:r>
          </w:p>
        </w:tc>
      </w:tr>
      <w:tr w:rsidR="59BD4447" w14:paraId="374AEF55" w14:textId="77777777" w:rsidTr="6F1EDA97">
        <w:trPr>
          <w:trHeight w:val="300"/>
        </w:trPr>
        <w:tc>
          <w:tcPr>
            <w:tcW w:w="630" w:type="dxa"/>
          </w:tcPr>
          <w:p w14:paraId="0CF9A94C" w14:textId="78E7C619" w:rsidR="70516E7E" w:rsidRDefault="225D46EA" w:rsidP="62C29527">
            <w:r>
              <w:t>1</w:t>
            </w:r>
            <w:r w:rsidR="7EFCB2CE">
              <w:t>6</w:t>
            </w:r>
          </w:p>
        </w:tc>
        <w:tc>
          <w:tcPr>
            <w:tcW w:w="5167" w:type="dxa"/>
          </w:tcPr>
          <w:p w14:paraId="07B955D9" w14:textId="24B92F0C" w:rsidR="59BD4447" w:rsidRDefault="59BD4447" w:rsidP="59BD4447">
            <w:r>
              <w:rPr>
                <w:noProof/>
              </w:rPr>
              <w:drawing>
                <wp:inline distT="0" distB="0" distL="0" distR="0" wp14:anchorId="23A90BBE" wp14:editId="68E4BA13">
                  <wp:extent cx="1981200" cy="2466975"/>
                  <wp:effectExtent l="0" t="0" r="0" b="0"/>
                  <wp:docPr id="14933940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394097" name="Picture 1493394097"/>
                          <pic:cNvPicPr/>
                        </pic:nvPicPr>
                        <pic:blipFill>
                          <a:blip r:embed="rId62">
                            <a:extLst>
                              <a:ext uri="{28A0092B-C50C-407E-A947-70E740481C1C}">
                                <a14:useLocalDpi xmlns:a14="http://schemas.microsoft.com/office/drawing/2010/main"/>
                              </a:ext>
                            </a:extLst>
                          </a:blip>
                          <a:stretch>
                            <a:fillRect/>
                          </a:stretch>
                        </pic:blipFill>
                        <pic:spPr>
                          <a:xfrm>
                            <a:off x="0" y="0"/>
                            <a:ext cx="1981200" cy="2466975"/>
                          </a:xfrm>
                          <a:prstGeom prst="rect">
                            <a:avLst/>
                          </a:prstGeom>
                        </pic:spPr>
                      </pic:pic>
                    </a:graphicData>
                  </a:graphic>
                </wp:inline>
              </w:drawing>
            </w:r>
          </w:p>
          <w:p w14:paraId="253CD4DC" w14:textId="1BD14A96" w:rsidR="59BD4447" w:rsidRDefault="59BD4447" w:rsidP="59BD4447">
            <w:r>
              <w:rPr>
                <w:noProof/>
              </w:rPr>
              <w:drawing>
                <wp:inline distT="0" distB="0" distL="0" distR="0" wp14:anchorId="2E17E83D" wp14:editId="16734A05">
                  <wp:extent cx="2466975" cy="2219325"/>
                  <wp:effectExtent l="0" t="0" r="0" b="0"/>
                  <wp:docPr id="11584587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58724" name="Picture 1158458724"/>
                          <pic:cNvPicPr/>
                        </pic:nvPicPr>
                        <pic:blipFill>
                          <a:blip r:embed="rId63">
                            <a:extLst>
                              <a:ext uri="{28A0092B-C50C-407E-A947-70E740481C1C}">
                                <a14:useLocalDpi xmlns:a14="http://schemas.microsoft.com/office/drawing/2010/main"/>
                              </a:ext>
                            </a:extLst>
                          </a:blip>
                          <a:stretch>
                            <a:fillRect/>
                          </a:stretch>
                        </pic:blipFill>
                        <pic:spPr>
                          <a:xfrm>
                            <a:off x="0" y="0"/>
                            <a:ext cx="2466975" cy="2219325"/>
                          </a:xfrm>
                          <a:prstGeom prst="rect">
                            <a:avLst/>
                          </a:prstGeom>
                        </pic:spPr>
                      </pic:pic>
                    </a:graphicData>
                  </a:graphic>
                </wp:inline>
              </w:drawing>
            </w:r>
          </w:p>
        </w:tc>
        <w:tc>
          <w:tcPr>
            <w:tcW w:w="3953" w:type="dxa"/>
          </w:tcPr>
          <w:p w14:paraId="0E4A8109" w14:textId="563888EB"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Necesidad  </w:t>
            </w:r>
          </w:p>
          <w:p w14:paraId="3B77C332" w14:textId="23D403A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Conectores y cables solares Permitir la conexión segura de módulos y componentes del sistema fotovoltaico.  </w:t>
            </w:r>
          </w:p>
          <w:p w14:paraId="713E1950" w14:textId="2AC1E265" w:rsidR="59BD4447" w:rsidRDefault="59BD4447" w:rsidP="3C234025">
            <w:pPr>
              <w:jc w:val="both"/>
              <w:rPr>
                <w:rFonts w:asciiTheme="minorHAnsi" w:eastAsiaTheme="minorEastAsia" w:hAnsiTheme="minorHAnsi" w:cstheme="minorBidi"/>
                <w:sz w:val="20"/>
                <w:szCs w:val="20"/>
              </w:rPr>
            </w:pPr>
          </w:p>
          <w:p w14:paraId="07A62784" w14:textId="544E54C8" w:rsidR="59BD4447" w:rsidRDefault="1141884C" w:rsidP="3C234025">
            <w:pPr>
              <w:jc w:val="both"/>
              <w:rPr>
                <w:rFonts w:asciiTheme="minorHAnsi" w:eastAsiaTheme="minorEastAsia" w:hAnsiTheme="minorHAnsi" w:cstheme="minorBidi"/>
                <w:b/>
                <w:bCs/>
                <w:sz w:val="20"/>
                <w:szCs w:val="20"/>
              </w:rPr>
            </w:pPr>
            <w:r w:rsidRPr="3C234025">
              <w:rPr>
                <w:rFonts w:asciiTheme="minorHAnsi" w:eastAsiaTheme="minorEastAsia" w:hAnsiTheme="minorHAnsi" w:cstheme="minorBidi"/>
                <w:b/>
                <w:bCs/>
                <w:sz w:val="20"/>
                <w:szCs w:val="20"/>
              </w:rPr>
              <w:t xml:space="preserve">Características técnicas de referencia   </w:t>
            </w:r>
          </w:p>
          <w:p w14:paraId="3D115BF1" w14:textId="3804573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Cableado solar certificado para sistemas FV (aprox. 6 mm²) y conectores tipo MC4 o equivalente hembra y macho. Cable solar de aproximadamente 6 mm² con conductor estañado clase 5, aislamiento y cubierta en elastómero termoestable. Conectores tipo MC4 para cable 6 mm² con corriente máxima aproximada de 30 A y voltaje máximo de 1000 VDC.</w:t>
            </w:r>
          </w:p>
        </w:tc>
      </w:tr>
    </w:tbl>
    <w:p w14:paraId="7E9BF7F3" w14:textId="107FA20A" w:rsidR="4FD9DD9D" w:rsidRDefault="4FD9DD9D" w:rsidP="4FD9DD9D">
      <w:pPr>
        <w:jc w:val="both"/>
        <w:rPr>
          <w:rFonts w:asciiTheme="minorHAnsi" w:eastAsiaTheme="minorEastAsia" w:hAnsiTheme="minorHAnsi" w:cstheme="minorBidi"/>
          <w:b/>
          <w:bCs/>
          <w:sz w:val="20"/>
          <w:szCs w:val="20"/>
        </w:rPr>
      </w:pPr>
    </w:p>
    <w:p w14:paraId="31AF5F20" w14:textId="5E69C7F3" w:rsidR="500B9525" w:rsidRDefault="00202299" w:rsidP="4FD9DD9D">
      <w:pPr>
        <w:jc w:val="both"/>
        <w:rPr>
          <w:rFonts w:asciiTheme="minorHAnsi" w:eastAsiaTheme="minorEastAsia" w:hAnsiTheme="minorHAnsi" w:cstheme="minorBidi"/>
          <w:sz w:val="20"/>
          <w:szCs w:val="20"/>
        </w:rPr>
      </w:pPr>
      <w:r w:rsidRPr="62C29527">
        <w:rPr>
          <w:rFonts w:asciiTheme="minorHAnsi" w:eastAsiaTheme="minorEastAsia" w:hAnsiTheme="minorHAnsi" w:cstheme="minorBidi"/>
          <w:b/>
          <w:bCs/>
          <w:sz w:val="20"/>
          <w:szCs w:val="20"/>
        </w:rPr>
        <w:t xml:space="preserve">Nota: </w:t>
      </w:r>
      <w:r w:rsidRPr="62C29527">
        <w:rPr>
          <w:rFonts w:asciiTheme="minorHAnsi" w:eastAsiaTheme="minorEastAsia" w:hAnsiTheme="minorHAnsi" w:cstheme="minorBidi"/>
          <w:sz w:val="20"/>
          <w:szCs w:val="20"/>
        </w:rPr>
        <w:t>Las imágenes de la tabla son de referencia.</w:t>
      </w:r>
    </w:p>
    <w:p w14:paraId="325E5449" w14:textId="2BBC7EF8" w:rsidR="4FD9DD9D" w:rsidRDefault="4FD9DD9D" w:rsidP="4FD9DD9D">
      <w:pPr>
        <w:rPr>
          <w:rFonts w:asciiTheme="minorHAnsi" w:eastAsiaTheme="minorEastAsia" w:hAnsiTheme="minorHAnsi" w:cstheme="minorBidi"/>
          <w:sz w:val="20"/>
          <w:szCs w:val="20"/>
        </w:rPr>
      </w:pPr>
    </w:p>
    <w:p w14:paraId="68CAE152" w14:textId="3A674AE2" w:rsidR="4FD9DD9D" w:rsidRDefault="4FD9DD9D" w:rsidP="4FD9DD9D">
      <w:pPr>
        <w:rPr>
          <w:rFonts w:asciiTheme="minorHAnsi" w:eastAsiaTheme="minorEastAsia" w:hAnsiTheme="minorHAnsi" w:cstheme="minorBidi"/>
          <w:sz w:val="20"/>
          <w:szCs w:val="20"/>
        </w:rPr>
      </w:pPr>
    </w:p>
    <w:p w14:paraId="343CC9F0" w14:textId="0B8C2B27" w:rsidR="60AFF2BB" w:rsidRDefault="60AFF2BB" w:rsidP="4FD9DD9D">
      <w:pPr>
        <w:jc w:val="both"/>
        <w:rPr>
          <w:rFonts w:asciiTheme="minorHAnsi" w:eastAsiaTheme="minorEastAsia" w:hAnsiTheme="minorHAnsi" w:cstheme="minorBidi"/>
          <w:b/>
          <w:bCs/>
          <w:sz w:val="20"/>
          <w:szCs w:val="20"/>
        </w:rPr>
      </w:pPr>
      <w:r>
        <w:rPr>
          <w:rFonts w:asciiTheme="minorHAnsi" w:eastAsiaTheme="minorEastAsia" w:hAnsiTheme="minorHAnsi" w:cstheme="minorBidi"/>
          <w:b/>
          <w:bCs/>
          <w:sz w:val="20"/>
          <w:szCs w:val="20"/>
          <w:lang w:val="es-CO"/>
        </w:rPr>
        <w:t>Laboratorio Eólico:</w:t>
      </w:r>
    </w:p>
    <w:p w14:paraId="2BF5FA7A" w14:textId="2AEBA267" w:rsidR="4FD9DD9D" w:rsidRDefault="4FD9DD9D" w:rsidP="4FD9DD9D">
      <w:pPr>
        <w:jc w:val="both"/>
        <w:rPr>
          <w:rFonts w:asciiTheme="minorHAnsi" w:eastAsiaTheme="minorEastAsia" w:hAnsiTheme="minorHAnsi" w:cstheme="minorBidi"/>
          <w:sz w:val="20"/>
          <w:szCs w:val="20"/>
        </w:rPr>
      </w:pPr>
    </w:p>
    <w:p w14:paraId="5B8D925F" w14:textId="0ECBF42C" w:rsidR="60AFF2BB" w:rsidRDefault="7BDFEC2C" w:rsidP="3255A9B4">
      <w:pPr>
        <w:jc w:val="both"/>
        <w:rPr>
          <w:rFonts w:asciiTheme="minorHAnsi" w:eastAsiaTheme="minorEastAsia" w:hAnsiTheme="minorHAnsi" w:cstheme="minorBidi"/>
          <w:sz w:val="20"/>
          <w:szCs w:val="20"/>
          <w:lang w:val="es-CO"/>
        </w:rPr>
      </w:pPr>
      <w:r w:rsidRPr="3255A9B4">
        <w:rPr>
          <w:rFonts w:asciiTheme="minorHAnsi" w:eastAsiaTheme="minorEastAsia" w:hAnsiTheme="minorHAnsi" w:cstheme="minorBidi"/>
          <w:sz w:val="20"/>
          <w:szCs w:val="20"/>
          <w:lang w:val="es-CO"/>
        </w:rPr>
        <w:t>Se propone un laboratorio de energía eólica con los siguientes equipos y características:</w:t>
      </w:r>
    </w:p>
    <w:p w14:paraId="7C4A0C1B" w14:textId="672B256F" w:rsidR="4FD9DD9D" w:rsidRDefault="4FD9DD9D" w:rsidP="4FD9DD9D">
      <w:pPr>
        <w:rPr>
          <w:rFonts w:asciiTheme="minorHAnsi" w:eastAsiaTheme="minorEastAsia" w:hAnsiTheme="minorHAnsi" w:cstheme="minorBidi"/>
          <w:sz w:val="20"/>
          <w:szCs w:val="20"/>
          <w:lang w:val="es-CO"/>
        </w:rPr>
      </w:pPr>
    </w:p>
    <w:p w14:paraId="46ECA179" w14:textId="1DD61D80" w:rsidR="60AFF2BB" w:rsidRDefault="60AFF2BB" w:rsidP="3C234025">
      <w:pPr>
        <w:jc w:val="center"/>
        <w:rPr>
          <w:rFonts w:asciiTheme="minorHAnsi" w:eastAsiaTheme="minorEastAsia" w:hAnsiTheme="minorHAnsi" w:cstheme="minorBidi"/>
          <w:sz w:val="20"/>
          <w:szCs w:val="20"/>
          <w:lang w:val="es-CO"/>
        </w:rPr>
      </w:pPr>
      <w:r w:rsidRPr="3C234025">
        <w:rPr>
          <w:rFonts w:asciiTheme="minorHAnsi" w:eastAsiaTheme="minorEastAsia" w:hAnsiTheme="minorHAnsi" w:cstheme="minorBidi"/>
          <w:i/>
          <w:iCs/>
          <w:sz w:val="20"/>
          <w:szCs w:val="20"/>
          <w:lang w:val="es-CO"/>
        </w:rPr>
        <w:t xml:space="preserve">Tabla </w:t>
      </w:r>
      <w:r w:rsidRPr="3C234025">
        <w:rPr>
          <w:rFonts w:asciiTheme="minorHAnsi" w:eastAsiaTheme="minorEastAsia" w:hAnsiTheme="minorHAnsi" w:cstheme="minorBidi"/>
          <w:i/>
          <w:iCs/>
          <w:sz w:val="20"/>
          <w:szCs w:val="20"/>
          <w:lang w:val="es-CO"/>
        </w:rPr>
        <w:fldChar w:fldCharType="begin"/>
      </w:r>
      <w:r w:rsidRPr="3C234025">
        <w:rPr>
          <w:rFonts w:asciiTheme="minorHAnsi" w:eastAsiaTheme="minorEastAsia" w:hAnsiTheme="minorHAnsi" w:cstheme="minorBidi"/>
          <w:i/>
          <w:iCs/>
          <w:sz w:val="20"/>
          <w:szCs w:val="20"/>
          <w:lang w:val="es-CO"/>
        </w:rPr>
        <w:instrText xml:space="preserve"> SEQ Tabla \* ARABIC </w:instrText>
      </w:r>
      <w:r w:rsidRPr="3C234025">
        <w:rPr>
          <w:rFonts w:asciiTheme="minorHAnsi" w:eastAsiaTheme="minorEastAsia" w:hAnsiTheme="minorHAnsi" w:cstheme="minorBidi"/>
          <w:i/>
          <w:iCs/>
          <w:sz w:val="20"/>
          <w:szCs w:val="20"/>
          <w:lang w:val="es-CO"/>
        </w:rPr>
        <w:fldChar w:fldCharType="separate"/>
      </w:r>
      <w:r w:rsidR="283A4A26" w:rsidRPr="3C234025">
        <w:rPr>
          <w:rFonts w:asciiTheme="minorHAnsi" w:eastAsiaTheme="minorEastAsia" w:hAnsiTheme="minorHAnsi" w:cstheme="minorBidi"/>
          <w:i/>
          <w:iCs/>
          <w:sz w:val="20"/>
          <w:szCs w:val="20"/>
          <w:lang w:val="es-CO"/>
        </w:rPr>
        <w:t>3</w:t>
      </w:r>
      <w:r w:rsidRPr="3C234025">
        <w:rPr>
          <w:rFonts w:asciiTheme="minorHAnsi" w:eastAsiaTheme="minorEastAsia" w:hAnsiTheme="minorHAnsi" w:cstheme="minorBidi"/>
          <w:i/>
          <w:iCs/>
          <w:sz w:val="20"/>
          <w:szCs w:val="20"/>
          <w:lang w:val="es-CO"/>
        </w:rPr>
        <w:fldChar w:fldCharType="end"/>
      </w:r>
      <w:r w:rsidRPr="3C234025">
        <w:rPr>
          <w:rFonts w:asciiTheme="minorHAnsi" w:eastAsiaTheme="minorEastAsia" w:hAnsiTheme="minorHAnsi" w:cstheme="minorBidi"/>
          <w:i/>
          <w:iCs/>
          <w:sz w:val="20"/>
          <w:szCs w:val="20"/>
          <w:lang w:val="es-CO"/>
        </w:rPr>
        <w:t>.</w:t>
      </w:r>
      <w:r w:rsidRPr="3C234025">
        <w:rPr>
          <w:rFonts w:asciiTheme="minorHAnsi" w:eastAsiaTheme="minorEastAsia" w:hAnsiTheme="minorHAnsi" w:cstheme="minorBidi"/>
          <w:sz w:val="20"/>
          <w:szCs w:val="20"/>
          <w:lang w:val="es-CO"/>
        </w:rPr>
        <w:t xml:space="preserve"> Laboratorio eólico</w:t>
      </w:r>
    </w:p>
    <w:tbl>
      <w:tblPr>
        <w:tblStyle w:val="Tablaconcuadrcula"/>
        <w:tblW w:w="9750" w:type="dxa"/>
        <w:tblLook w:val="06A0" w:firstRow="1" w:lastRow="0" w:firstColumn="1" w:lastColumn="0" w:noHBand="1" w:noVBand="1"/>
      </w:tblPr>
      <w:tblGrid>
        <w:gridCol w:w="645"/>
        <w:gridCol w:w="5570"/>
        <w:gridCol w:w="3535"/>
      </w:tblGrid>
      <w:tr w:rsidR="59BD4447" w14:paraId="5995EE3F" w14:textId="77777777" w:rsidTr="6F1EDA97">
        <w:trPr>
          <w:trHeight w:val="300"/>
        </w:trPr>
        <w:tc>
          <w:tcPr>
            <w:tcW w:w="645" w:type="dxa"/>
            <w:shd w:val="clear" w:color="auto" w:fill="002060"/>
          </w:tcPr>
          <w:p w14:paraId="467E21D6" w14:textId="1E075C4E" w:rsidR="61D8842F" w:rsidRDefault="61D8842F" w:rsidP="62C29527">
            <w:pPr>
              <w:jc w:val="center"/>
              <w:rPr>
                <w:rFonts w:asciiTheme="minorHAnsi" w:eastAsiaTheme="minorEastAsia" w:hAnsiTheme="minorHAnsi" w:cstheme="minorBidi"/>
                <w:b/>
                <w:bCs/>
                <w:color w:val="FFFFFF" w:themeColor="background1"/>
                <w:sz w:val="20"/>
                <w:szCs w:val="20"/>
              </w:rPr>
            </w:pPr>
            <w:r w:rsidRPr="62C29527">
              <w:rPr>
                <w:rFonts w:asciiTheme="minorHAnsi" w:eastAsiaTheme="minorEastAsia" w:hAnsiTheme="minorHAnsi" w:cstheme="minorBidi"/>
                <w:b/>
                <w:bCs/>
                <w:color w:val="FFFFFF" w:themeColor="background1"/>
                <w:sz w:val="20"/>
                <w:szCs w:val="20"/>
              </w:rPr>
              <w:t>Ítem</w:t>
            </w:r>
          </w:p>
        </w:tc>
        <w:tc>
          <w:tcPr>
            <w:tcW w:w="9105" w:type="dxa"/>
            <w:gridSpan w:val="2"/>
            <w:shd w:val="clear" w:color="auto" w:fill="002060"/>
          </w:tcPr>
          <w:p w14:paraId="61CF32D1" w14:textId="0D337F68" w:rsidR="503C80F2" w:rsidRDefault="503C80F2" w:rsidP="59BD4447">
            <w:pPr>
              <w:jc w:val="center"/>
              <w:rPr>
                <w:rFonts w:asciiTheme="minorHAnsi" w:eastAsiaTheme="minorEastAsia" w:hAnsiTheme="minorHAnsi" w:cstheme="minorBidi"/>
                <w:b/>
                <w:bCs/>
                <w:color w:val="FFFFFF" w:themeColor="background1"/>
                <w:sz w:val="20"/>
                <w:szCs w:val="20"/>
              </w:rPr>
            </w:pPr>
            <w:r>
              <w:rPr>
                <w:rFonts w:asciiTheme="minorHAnsi" w:eastAsiaTheme="minorEastAsia" w:hAnsiTheme="minorHAnsi" w:cstheme="minorBidi"/>
                <w:b/>
                <w:bCs/>
                <w:color w:val="FFFFFF" w:themeColor="background1"/>
                <w:sz w:val="20"/>
                <w:szCs w:val="20"/>
              </w:rPr>
              <w:t>Laboratorio Eólico</w:t>
            </w:r>
          </w:p>
        </w:tc>
      </w:tr>
      <w:tr w:rsidR="59BD4447" w14:paraId="5B564F0F" w14:textId="77777777" w:rsidTr="6F1EDA97">
        <w:trPr>
          <w:trHeight w:val="300"/>
        </w:trPr>
        <w:tc>
          <w:tcPr>
            <w:tcW w:w="645" w:type="dxa"/>
          </w:tcPr>
          <w:p w14:paraId="646E502F" w14:textId="0C1F5CA4" w:rsidR="5E6F835D" w:rsidRDefault="5E6F835D" w:rsidP="62C29527">
            <w:r>
              <w:t>1</w:t>
            </w:r>
          </w:p>
        </w:tc>
        <w:tc>
          <w:tcPr>
            <w:tcW w:w="5570" w:type="dxa"/>
          </w:tcPr>
          <w:p w14:paraId="3B0BCEF0" w14:textId="2255781B" w:rsidR="503C80F2" w:rsidRDefault="503C80F2" w:rsidP="59BD4447">
            <w:r>
              <w:rPr>
                <w:noProof/>
              </w:rPr>
              <w:drawing>
                <wp:inline distT="0" distB="0" distL="0" distR="0" wp14:anchorId="3292E914" wp14:editId="77D21CF9">
                  <wp:extent cx="2428875" cy="1990725"/>
                  <wp:effectExtent l="0" t="0" r="0" b="0"/>
                  <wp:docPr id="16576552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25020" name="Picture 230125020"/>
                          <pic:cNvPicPr/>
                        </pic:nvPicPr>
                        <pic:blipFill>
                          <a:blip r:embed="rId64">
                            <a:extLst>
                              <a:ext uri="{28A0092B-C50C-407E-A947-70E740481C1C}">
                                <a14:useLocalDpi xmlns:a14="http://schemas.microsoft.com/office/drawing/2010/main"/>
                              </a:ext>
                            </a:extLst>
                          </a:blip>
                          <a:stretch>
                            <a:fillRect/>
                          </a:stretch>
                        </pic:blipFill>
                        <pic:spPr>
                          <a:xfrm>
                            <a:off x="0" y="0"/>
                            <a:ext cx="2428875" cy="1990725"/>
                          </a:xfrm>
                          <a:prstGeom prst="rect">
                            <a:avLst/>
                          </a:prstGeom>
                        </pic:spPr>
                      </pic:pic>
                    </a:graphicData>
                  </a:graphic>
                </wp:inline>
              </w:drawing>
            </w:r>
          </w:p>
        </w:tc>
        <w:tc>
          <w:tcPr>
            <w:tcW w:w="3535" w:type="dxa"/>
          </w:tcPr>
          <w:p w14:paraId="308E60AD" w14:textId="005E3E7B"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33A970EC" w14:textId="73D6B21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Aplicación de Centrales Eólicas con Generador de Inducción Doblemente Alimentado.</w:t>
            </w:r>
            <w:r w:rsidRPr="3C234025">
              <w:rPr>
                <w:rFonts w:asciiTheme="minorHAnsi" w:eastAsiaTheme="minorEastAsia" w:hAnsiTheme="minorHAnsi" w:cstheme="minorBidi"/>
                <w:sz w:val="20"/>
                <w:szCs w:val="20"/>
              </w:rPr>
              <w:t xml:space="preserve"> Permitir el aprendizaje práctico del funcionamiento de turbinas eólicas modernas basadas en generadores de inducción doblemente alimentados (DFIG), ampliamente utilizados en parques eólicos comerciales. </w:t>
            </w:r>
          </w:p>
          <w:p w14:paraId="0963FE7D" w14:textId="7337D3C2" w:rsidR="59BD4447" w:rsidRDefault="59BD4447" w:rsidP="59BD4447">
            <w:pPr>
              <w:rPr>
                <w:rFonts w:asciiTheme="minorHAnsi" w:eastAsiaTheme="minorEastAsia" w:hAnsiTheme="minorHAnsi" w:cstheme="minorBidi"/>
                <w:b/>
                <w:bCs/>
                <w:sz w:val="20"/>
                <w:szCs w:val="20"/>
              </w:rPr>
            </w:pPr>
          </w:p>
          <w:p w14:paraId="7E796AD0" w14:textId="075B6FC9"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45357682" w14:textId="54B93B6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didáctico con generador de inducción doblemente alimentado, control electrónico de potencia, medición de variables eléctricas y monitoreo desde computador. El sistema debe incluir control desde computador mediante sistema SCADA con control avanzado en tiempo real, software basado en entorno gráfico (tipo LabVIEW o equivalente), capacidad de adquisición, registro y visualización de variables eléctricas. Debe permitir simulación de condiciones de viento, visualización de variables como corrientes del rotor y estator, voltajes, potencia activa y reactiva y velocidad del generador. Debe permitir simulación de fallas de red (huecos de tensión) y almacenamiento de datos para análisis posterior.</w:t>
            </w:r>
          </w:p>
        </w:tc>
      </w:tr>
      <w:tr w:rsidR="59BD4447" w14:paraId="7BDCDBFC" w14:textId="77777777" w:rsidTr="6F1EDA97">
        <w:trPr>
          <w:trHeight w:val="300"/>
        </w:trPr>
        <w:tc>
          <w:tcPr>
            <w:tcW w:w="645" w:type="dxa"/>
          </w:tcPr>
          <w:p w14:paraId="72473D7D" w14:textId="55BAA80A" w:rsidR="1DD7A9A2" w:rsidRDefault="1DD7A9A2" w:rsidP="62C29527">
            <w:pPr>
              <w:jc w:val="center"/>
            </w:pPr>
            <w:r>
              <w:t>2</w:t>
            </w:r>
          </w:p>
        </w:tc>
        <w:tc>
          <w:tcPr>
            <w:tcW w:w="5570" w:type="dxa"/>
          </w:tcPr>
          <w:p w14:paraId="6CD1120B" w14:textId="786977A2" w:rsidR="59BD4447" w:rsidRDefault="6394FBFE" w:rsidP="68D41FDE">
            <w:pPr>
              <w:jc w:val="center"/>
            </w:pPr>
            <w:r>
              <w:rPr>
                <w:noProof/>
              </w:rPr>
              <w:drawing>
                <wp:inline distT="0" distB="0" distL="0" distR="0" wp14:anchorId="39AEFBF3" wp14:editId="283B3C23">
                  <wp:extent cx="2352675" cy="2752725"/>
                  <wp:effectExtent l="0" t="0" r="0" b="0"/>
                  <wp:docPr id="17111831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183171" name="Picture 1711183171"/>
                          <pic:cNvPicPr/>
                        </pic:nvPicPr>
                        <pic:blipFill>
                          <a:blip r:embed="rId65">
                            <a:extLst>
                              <a:ext uri="{28A0092B-C50C-407E-A947-70E740481C1C}">
                                <a14:useLocalDpi xmlns:a14="http://schemas.microsoft.com/office/drawing/2010/main"/>
                              </a:ext>
                            </a:extLst>
                          </a:blip>
                          <a:stretch>
                            <a:fillRect/>
                          </a:stretch>
                        </pic:blipFill>
                        <pic:spPr>
                          <a:xfrm>
                            <a:off x="0" y="0"/>
                            <a:ext cx="2352675" cy="2752725"/>
                          </a:xfrm>
                          <a:prstGeom prst="rect">
                            <a:avLst/>
                          </a:prstGeom>
                        </pic:spPr>
                      </pic:pic>
                    </a:graphicData>
                  </a:graphic>
                </wp:inline>
              </w:drawing>
            </w:r>
          </w:p>
        </w:tc>
        <w:tc>
          <w:tcPr>
            <w:tcW w:w="3535" w:type="dxa"/>
          </w:tcPr>
          <w:p w14:paraId="030C7CDD" w14:textId="5F08AF6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21D4BD40" w14:textId="6AC7C3C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Banco de Trabajo Eléctrico – Rack.</w:t>
            </w:r>
            <w:r w:rsidRPr="3C234025">
              <w:rPr>
                <w:rFonts w:asciiTheme="minorHAnsi" w:eastAsiaTheme="minorEastAsia" w:hAnsiTheme="minorHAnsi" w:cstheme="minorBidi"/>
                <w:sz w:val="20"/>
                <w:szCs w:val="20"/>
              </w:rPr>
              <w:t xml:space="preserve"> Proporcionar una estación de trabajo segura para el montaje de módulos didácticos de energía eólica. </w:t>
            </w:r>
          </w:p>
          <w:p w14:paraId="62212F5E" w14:textId="4FB68216" w:rsidR="59BD4447" w:rsidRDefault="59BD4447" w:rsidP="3C234025">
            <w:pPr>
              <w:jc w:val="both"/>
              <w:rPr>
                <w:rFonts w:asciiTheme="minorHAnsi" w:eastAsiaTheme="minorEastAsia" w:hAnsiTheme="minorHAnsi" w:cstheme="minorBidi"/>
                <w:sz w:val="20"/>
                <w:szCs w:val="20"/>
              </w:rPr>
            </w:pPr>
          </w:p>
          <w:p w14:paraId="3FBF9541" w14:textId="7A90956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3AB9D13F" w14:textId="43997EE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Estructura metálica tipo rack con superficie aislante, tomas eléctricas protegidas y espacio para módulos didácticos. Estructura en aluminio anodizado, superficie de trabajo en material resistente (tipo melanina), con ruedas para desplazamiento y sistema de alimentación eléctrica integrado.</w:t>
            </w:r>
          </w:p>
        </w:tc>
      </w:tr>
      <w:tr w:rsidR="59BD4447" w14:paraId="5CE88979" w14:textId="77777777" w:rsidTr="6F1EDA97">
        <w:trPr>
          <w:trHeight w:val="300"/>
        </w:trPr>
        <w:tc>
          <w:tcPr>
            <w:tcW w:w="645" w:type="dxa"/>
          </w:tcPr>
          <w:p w14:paraId="3108C670" w14:textId="6E8199D8" w:rsidR="1DD7A9A2" w:rsidRDefault="1DD7A9A2" w:rsidP="62C29527">
            <w:r>
              <w:t>3</w:t>
            </w:r>
          </w:p>
        </w:tc>
        <w:tc>
          <w:tcPr>
            <w:tcW w:w="5570" w:type="dxa"/>
          </w:tcPr>
          <w:p w14:paraId="7B5A2116" w14:textId="16A39B7D" w:rsidR="59BD4447" w:rsidRDefault="59BD4447" w:rsidP="68D41FDE">
            <w:r>
              <w:rPr>
                <w:noProof/>
              </w:rPr>
              <w:drawing>
                <wp:inline distT="0" distB="0" distL="0" distR="0" wp14:anchorId="3D1A66BE" wp14:editId="2B30124B">
                  <wp:extent cx="2752725" cy="2371725"/>
                  <wp:effectExtent l="0" t="0" r="0" b="0"/>
                  <wp:docPr id="18211602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60298" name="Picture 1821160298"/>
                          <pic:cNvPicPr/>
                        </pic:nvPicPr>
                        <pic:blipFill>
                          <a:blip r:embed="rId66">
                            <a:extLst>
                              <a:ext uri="{28A0092B-C50C-407E-A947-70E740481C1C}">
                                <a14:useLocalDpi xmlns:a14="http://schemas.microsoft.com/office/drawing/2010/main"/>
                              </a:ext>
                            </a:extLst>
                          </a:blip>
                          <a:stretch>
                            <a:fillRect/>
                          </a:stretch>
                        </pic:blipFill>
                        <pic:spPr>
                          <a:xfrm>
                            <a:off x="0" y="0"/>
                            <a:ext cx="2752725" cy="2371725"/>
                          </a:xfrm>
                          <a:prstGeom prst="rect">
                            <a:avLst/>
                          </a:prstGeom>
                        </pic:spPr>
                      </pic:pic>
                    </a:graphicData>
                  </a:graphic>
                </wp:inline>
              </w:drawing>
            </w:r>
          </w:p>
        </w:tc>
        <w:tc>
          <w:tcPr>
            <w:tcW w:w="3535" w:type="dxa"/>
          </w:tcPr>
          <w:p w14:paraId="1A978A4D" w14:textId="503AA54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309AEBB9" w14:textId="6681BA2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Aplicación de Energía Eólica con Generador Síncrono de Imanes Permanentes.</w:t>
            </w:r>
            <w:r w:rsidRPr="3C234025">
              <w:rPr>
                <w:rFonts w:asciiTheme="minorHAnsi" w:eastAsiaTheme="minorEastAsia" w:hAnsiTheme="minorHAnsi" w:cstheme="minorBidi"/>
                <w:sz w:val="20"/>
                <w:szCs w:val="20"/>
              </w:rPr>
              <w:t xml:space="preserve"> Permitir el estudio de aerogeneradores modernos basados en generadores síncronos de imanes permanentes. </w:t>
            </w:r>
          </w:p>
          <w:p w14:paraId="7BD1133B" w14:textId="55997EC3" w:rsidR="59BD4447" w:rsidRDefault="59BD4447" w:rsidP="3C234025">
            <w:pPr>
              <w:jc w:val="both"/>
              <w:rPr>
                <w:rFonts w:asciiTheme="minorHAnsi" w:eastAsiaTheme="minorEastAsia" w:hAnsiTheme="minorHAnsi" w:cstheme="minorBidi"/>
                <w:b/>
                <w:bCs/>
                <w:sz w:val="20"/>
                <w:szCs w:val="20"/>
              </w:rPr>
            </w:pPr>
          </w:p>
          <w:p w14:paraId="62476454" w14:textId="65A1B0E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0F70FD09" w14:textId="2608523B"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didáctico basado en motor-generador síncrono trifásico de imanes permanentes (tipo AEL-WPT o equivalente). Motor-generador PMSG: potencia nominal 0.6 kVA, tensión nominal 24 VAC, velocidad 850 rpm, 8 polos. Motor de accionamiento de jaula de ardilla 3PH: potencia 550 W, tensión 3×230/400 VAC Δ/Y, frecuencia 50/60 Hz, 8 polos, 750 rpm, corriente nominal 3.6/2 A. Variador de velocidad (VFD): alimentación 230 VAC, potencia nominal 750 W, salida trifásica PWM 230 VAC. Rectificador CA/CC trifásico: rango entrada 0–400 VAC, salida 0–400 VDC, fusibles 16 A. Módulo de resistencia variable: 0–700 Ω, potencia máxima 500 W. Fuente de alimentación principal 400 VAC trifásico con protección diferencial 4P/25A/30 mA. Multímetros digitales (2 uds.) para medición de tensión y corriente.</w:t>
            </w:r>
          </w:p>
        </w:tc>
      </w:tr>
      <w:tr w:rsidR="59BD4447" w14:paraId="142EBEAB" w14:textId="77777777" w:rsidTr="6F1EDA97">
        <w:trPr>
          <w:trHeight w:val="300"/>
        </w:trPr>
        <w:tc>
          <w:tcPr>
            <w:tcW w:w="645" w:type="dxa"/>
          </w:tcPr>
          <w:p w14:paraId="74343963" w14:textId="18CFB08B" w:rsidR="600CD2E8" w:rsidRDefault="600CD2E8" w:rsidP="62C29527">
            <w:pPr>
              <w:jc w:val="center"/>
            </w:pPr>
            <w:r>
              <w:t>4</w:t>
            </w:r>
          </w:p>
        </w:tc>
        <w:tc>
          <w:tcPr>
            <w:tcW w:w="5570" w:type="dxa"/>
          </w:tcPr>
          <w:p w14:paraId="7804D33F" w14:textId="2D21170D" w:rsidR="59BD4447" w:rsidRDefault="59BD4447" w:rsidP="68D41FDE">
            <w:pPr>
              <w:jc w:val="center"/>
            </w:pPr>
            <w:r>
              <w:rPr>
                <w:noProof/>
              </w:rPr>
              <w:drawing>
                <wp:inline distT="0" distB="0" distL="0" distR="0" wp14:anchorId="6A401570" wp14:editId="0A941DE2">
                  <wp:extent cx="1419225" cy="2752725"/>
                  <wp:effectExtent l="0" t="0" r="0" b="0"/>
                  <wp:docPr id="99762144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621447" name="Picture 997621447"/>
                          <pic:cNvPicPr/>
                        </pic:nvPicPr>
                        <pic:blipFill>
                          <a:blip r:embed="rId67">
                            <a:extLst>
                              <a:ext uri="{28A0092B-C50C-407E-A947-70E740481C1C}">
                                <a14:useLocalDpi xmlns:a14="http://schemas.microsoft.com/office/drawing/2010/main"/>
                              </a:ext>
                            </a:extLst>
                          </a:blip>
                          <a:stretch>
                            <a:fillRect/>
                          </a:stretch>
                        </pic:blipFill>
                        <pic:spPr>
                          <a:xfrm>
                            <a:off x="0" y="0"/>
                            <a:ext cx="1419225" cy="2752725"/>
                          </a:xfrm>
                          <a:prstGeom prst="rect">
                            <a:avLst/>
                          </a:prstGeom>
                        </pic:spPr>
                      </pic:pic>
                    </a:graphicData>
                  </a:graphic>
                </wp:inline>
              </w:drawing>
            </w:r>
          </w:p>
        </w:tc>
        <w:tc>
          <w:tcPr>
            <w:tcW w:w="3535" w:type="dxa"/>
          </w:tcPr>
          <w:p w14:paraId="592A5EF0" w14:textId="6BB4FC1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07F1DE03" w14:textId="6C65BB2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Aerogenerador Pequeño de Imanes Permanentes.</w:t>
            </w:r>
            <w:r w:rsidRPr="3C234025">
              <w:rPr>
                <w:rFonts w:asciiTheme="minorHAnsi" w:eastAsiaTheme="minorEastAsia" w:hAnsiTheme="minorHAnsi" w:cstheme="minorBidi"/>
                <w:sz w:val="20"/>
                <w:szCs w:val="20"/>
              </w:rPr>
              <w:t xml:space="preserve"> Permitir prácticas de generación eólica a pequeña escala.</w:t>
            </w:r>
          </w:p>
          <w:p w14:paraId="4628AF04" w14:textId="4799DAA1" w:rsidR="59BD4447" w:rsidRDefault="59BD4447" w:rsidP="3C234025">
            <w:pPr>
              <w:jc w:val="both"/>
              <w:rPr>
                <w:rFonts w:asciiTheme="minorHAnsi" w:eastAsiaTheme="minorEastAsia" w:hAnsiTheme="minorHAnsi" w:cstheme="minorBidi"/>
                <w:sz w:val="20"/>
                <w:szCs w:val="20"/>
              </w:rPr>
            </w:pPr>
          </w:p>
          <w:p w14:paraId="6C70616B" w14:textId="365356E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74414314" w14:textId="3BE29B1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Aerogenerador didáctico con generador de imanes permanentes, medición de potencia generada y conexión a cargas didácticas.</w:t>
            </w:r>
          </w:p>
          <w:p w14:paraId="176D61AA" w14:textId="0850EAC2" w:rsidR="59BD4447" w:rsidRDefault="59BD4447" w:rsidP="3C234025">
            <w:pPr>
              <w:jc w:val="both"/>
              <w:rPr>
                <w:rFonts w:asciiTheme="minorHAnsi" w:eastAsiaTheme="minorEastAsia" w:hAnsiTheme="minorHAnsi" w:cstheme="minorBidi"/>
                <w:sz w:val="20"/>
                <w:szCs w:val="20"/>
              </w:rPr>
            </w:pPr>
          </w:p>
          <w:p w14:paraId="165514B9" w14:textId="2EB78C6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Turbina de viento:</w:t>
            </w:r>
          </w:p>
          <w:p w14:paraId="1D89F8B0" w14:textId="1B9A203A" w:rsidR="59BD4447" w:rsidRDefault="1141884C" w:rsidP="3C234025">
            <w:pPr>
              <w:jc w:val="both"/>
            </w:pPr>
            <w:r w:rsidRPr="3C234025">
              <w:rPr>
                <w:rFonts w:asciiTheme="minorHAnsi" w:eastAsiaTheme="minorEastAsia" w:hAnsiTheme="minorHAnsi" w:cstheme="minorBidi"/>
                <w:sz w:val="20"/>
                <w:szCs w:val="20"/>
              </w:rPr>
              <w:t>Potencia nominal: 500 W.</w:t>
            </w:r>
          </w:p>
          <w:p w14:paraId="7688A584" w14:textId="3341701E" w:rsidR="59BD4447" w:rsidRDefault="1141884C" w:rsidP="3C234025">
            <w:pPr>
              <w:jc w:val="both"/>
            </w:pPr>
            <w:r w:rsidRPr="3C234025">
              <w:rPr>
                <w:rFonts w:asciiTheme="minorHAnsi" w:eastAsiaTheme="minorEastAsia" w:hAnsiTheme="minorHAnsi" w:cstheme="minorBidi"/>
                <w:sz w:val="20"/>
                <w:szCs w:val="20"/>
              </w:rPr>
              <w:t>Voltaje nominal: 24 V AC + 3 PH.</w:t>
            </w:r>
          </w:p>
          <w:p w14:paraId="565438EA" w14:textId="712354AD" w:rsidR="59BD4447" w:rsidRDefault="1141884C" w:rsidP="3C234025">
            <w:pPr>
              <w:jc w:val="both"/>
            </w:pPr>
            <w:r w:rsidRPr="3C234025">
              <w:rPr>
                <w:rFonts w:asciiTheme="minorHAnsi" w:eastAsiaTheme="minorEastAsia" w:hAnsiTheme="minorHAnsi" w:cstheme="minorBidi"/>
                <w:sz w:val="20"/>
                <w:szCs w:val="20"/>
              </w:rPr>
              <w:t>Regulador:</w:t>
            </w:r>
          </w:p>
          <w:p w14:paraId="4361DC27" w14:textId="073ABFB4" w:rsidR="59BD4447" w:rsidRDefault="1141884C" w:rsidP="3C234025">
            <w:pPr>
              <w:jc w:val="both"/>
            </w:pPr>
            <w:r w:rsidRPr="3C234025">
              <w:rPr>
                <w:rFonts w:asciiTheme="minorHAnsi" w:eastAsiaTheme="minorEastAsia" w:hAnsiTheme="minorHAnsi" w:cstheme="minorBidi"/>
                <w:sz w:val="20"/>
                <w:szCs w:val="20"/>
              </w:rPr>
              <w:t>Terminales de entrada trifásicos de 24 V AC.</w:t>
            </w:r>
          </w:p>
          <w:p w14:paraId="708F81E5" w14:textId="4BB715DA" w:rsidR="59BD4447" w:rsidRDefault="1141884C" w:rsidP="3C234025">
            <w:pPr>
              <w:jc w:val="both"/>
            </w:pPr>
            <w:r w:rsidRPr="3C234025">
              <w:rPr>
                <w:rFonts w:asciiTheme="minorHAnsi" w:eastAsiaTheme="minorEastAsia" w:hAnsiTheme="minorHAnsi" w:cstheme="minorBidi"/>
                <w:sz w:val="20"/>
                <w:szCs w:val="20"/>
              </w:rPr>
              <w:t>Dos terminales de salida de CC para la carga de la batería.</w:t>
            </w:r>
          </w:p>
          <w:p w14:paraId="3D7DF532" w14:textId="533E6CC6" w:rsidR="59BD4447" w:rsidRDefault="1141884C" w:rsidP="3C234025">
            <w:pPr>
              <w:jc w:val="both"/>
            </w:pPr>
            <w:r w:rsidRPr="3C234025">
              <w:rPr>
                <w:rFonts w:asciiTheme="minorHAnsi" w:eastAsiaTheme="minorEastAsia" w:hAnsiTheme="minorHAnsi" w:cstheme="minorBidi"/>
                <w:sz w:val="20"/>
                <w:szCs w:val="20"/>
              </w:rPr>
              <w:t>2 fusibles de 16 A.</w:t>
            </w:r>
          </w:p>
          <w:p w14:paraId="61BC0C96" w14:textId="0D4D7DB5" w:rsidR="59BD4447" w:rsidRDefault="1141884C" w:rsidP="3C234025">
            <w:pPr>
              <w:jc w:val="both"/>
            </w:pPr>
            <w:r w:rsidRPr="3C234025">
              <w:rPr>
                <w:rFonts w:asciiTheme="minorHAnsi" w:eastAsiaTheme="minorEastAsia" w:hAnsiTheme="minorHAnsi" w:cstheme="minorBidi"/>
                <w:sz w:val="20"/>
                <w:szCs w:val="20"/>
              </w:rPr>
              <w:t>Interruptor de freno.</w:t>
            </w:r>
          </w:p>
          <w:p w14:paraId="0B5190CF" w14:textId="15F5C15E" w:rsidR="59BD4447" w:rsidRDefault="1141884C" w:rsidP="3C234025">
            <w:pPr>
              <w:jc w:val="both"/>
            </w:pPr>
            <w:r w:rsidRPr="3C234025">
              <w:rPr>
                <w:rFonts w:asciiTheme="minorHAnsi" w:eastAsiaTheme="minorEastAsia" w:hAnsiTheme="minorHAnsi" w:cstheme="minorBidi"/>
                <w:sz w:val="20"/>
                <w:szCs w:val="20"/>
              </w:rPr>
              <w:t>Potenciómetro para ajustar el nivel de carga de voltaje.</w:t>
            </w:r>
          </w:p>
          <w:p w14:paraId="73610906" w14:textId="1BB2F792" w:rsidR="59BD4447" w:rsidRDefault="1141884C" w:rsidP="3C234025">
            <w:pPr>
              <w:jc w:val="both"/>
            </w:pPr>
            <w:r w:rsidRPr="3C234025">
              <w:rPr>
                <w:rFonts w:asciiTheme="minorHAnsi" w:eastAsiaTheme="minorEastAsia" w:hAnsiTheme="minorHAnsi" w:cstheme="minorBidi"/>
                <w:sz w:val="20"/>
                <w:szCs w:val="20"/>
              </w:rPr>
              <w:t>Pantalla para el nivel de tensión de la batería.</w:t>
            </w:r>
          </w:p>
          <w:p w14:paraId="63754542" w14:textId="16BE95FC"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Todos los cables necesarios para realizar los ejercicios de prácticas están incluidos.</w:t>
            </w:r>
          </w:p>
        </w:tc>
      </w:tr>
      <w:tr w:rsidR="59BD4447" w14:paraId="07C95D9F" w14:textId="77777777" w:rsidTr="6F1EDA97">
        <w:trPr>
          <w:trHeight w:val="300"/>
        </w:trPr>
        <w:tc>
          <w:tcPr>
            <w:tcW w:w="645" w:type="dxa"/>
          </w:tcPr>
          <w:p w14:paraId="3457A348" w14:textId="1AEAC243" w:rsidR="20EF7D4D" w:rsidRDefault="20EF7D4D" w:rsidP="62C29527">
            <w:r>
              <w:t>5</w:t>
            </w:r>
          </w:p>
        </w:tc>
        <w:tc>
          <w:tcPr>
            <w:tcW w:w="5570" w:type="dxa"/>
          </w:tcPr>
          <w:p w14:paraId="64276B82" w14:textId="53AC909A" w:rsidR="59BD4447" w:rsidRDefault="207BD86E" w:rsidP="68D41FDE">
            <w:r>
              <w:rPr>
                <w:noProof/>
              </w:rPr>
              <w:drawing>
                <wp:inline distT="0" distB="0" distL="0" distR="0" wp14:anchorId="1BF610DF" wp14:editId="14F7E301">
                  <wp:extent cx="2752725" cy="1400175"/>
                  <wp:effectExtent l="0" t="0" r="0" b="0"/>
                  <wp:docPr id="4420965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96511" name="Picture 442096511"/>
                          <pic:cNvPicPr/>
                        </pic:nvPicPr>
                        <pic:blipFill>
                          <a:blip r:embed="rId68">
                            <a:extLst>
                              <a:ext uri="{28A0092B-C50C-407E-A947-70E740481C1C}">
                                <a14:useLocalDpi xmlns:a14="http://schemas.microsoft.com/office/drawing/2010/main"/>
                              </a:ext>
                            </a:extLst>
                          </a:blip>
                          <a:stretch>
                            <a:fillRect/>
                          </a:stretch>
                        </pic:blipFill>
                        <pic:spPr>
                          <a:xfrm>
                            <a:off x="0" y="0"/>
                            <a:ext cx="2752725" cy="1400175"/>
                          </a:xfrm>
                          <a:prstGeom prst="rect">
                            <a:avLst/>
                          </a:prstGeom>
                        </pic:spPr>
                      </pic:pic>
                    </a:graphicData>
                  </a:graphic>
                </wp:inline>
              </w:drawing>
            </w:r>
          </w:p>
          <w:p w14:paraId="642C4F83" w14:textId="02332DEA" w:rsidR="59BD4447" w:rsidRDefault="59BD4447" w:rsidP="68D41FDE"/>
          <w:p w14:paraId="49D6C307" w14:textId="2AB923CE" w:rsidR="59BD4447" w:rsidRDefault="2273B48F" w:rsidP="68D41FDE">
            <w:r>
              <w:rPr>
                <w:noProof/>
              </w:rPr>
              <w:drawing>
                <wp:inline distT="0" distB="0" distL="0" distR="0" wp14:anchorId="1600FDF4" wp14:editId="23F78A59">
                  <wp:extent cx="3390900" cy="1952625"/>
                  <wp:effectExtent l="0" t="0" r="0" b="0"/>
                  <wp:docPr id="7313013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01385" name="Picture 731301385"/>
                          <pic:cNvPicPr/>
                        </pic:nvPicPr>
                        <pic:blipFill>
                          <a:blip r:embed="rId69">
                            <a:extLst>
                              <a:ext uri="{28A0092B-C50C-407E-A947-70E740481C1C}">
                                <a14:useLocalDpi xmlns:a14="http://schemas.microsoft.com/office/drawing/2010/main"/>
                              </a:ext>
                            </a:extLst>
                          </a:blip>
                          <a:stretch>
                            <a:fillRect/>
                          </a:stretch>
                        </pic:blipFill>
                        <pic:spPr>
                          <a:xfrm>
                            <a:off x="0" y="0"/>
                            <a:ext cx="3390900" cy="1952625"/>
                          </a:xfrm>
                          <a:prstGeom prst="rect">
                            <a:avLst/>
                          </a:prstGeom>
                        </pic:spPr>
                      </pic:pic>
                    </a:graphicData>
                  </a:graphic>
                </wp:inline>
              </w:drawing>
            </w:r>
          </w:p>
          <w:p w14:paraId="33DEAAA4" w14:textId="6826E370" w:rsidR="59BD4447" w:rsidRDefault="2273B48F" w:rsidP="68D41FDE">
            <w:r>
              <w:rPr>
                <w:noProof/>
              </w:rPr>
              <w:drawing>
                <wp:inline distT="0" distB="0" distL="0" distR="0" wp14:anchorId="7ECBE640" wp14:editId="5960DBA6">
                  <wp:extent cx="3390900" cy="1028700"/>
                  <wp:effectExtent l="0" t="0" r="0" b="0"/>
                  <wp:docPr id="11746423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642370" name="Picture 1174642370"/>
                          <pic:cNvPicPr/>
                        </pic:nvPicPr>
                        <pic:blipFill>
                          <a:blip r:embed="rId70">
                            <a:extLst>
                              <a:ext uri="{28A0092B-C50C-407E-A947-70E740481C1C}">
                                <a14:useLocalDpi xmlns:a14="http://schemas.microsoft.com/office/drawing/2010/main"/>
                              </a:ext>
                            </a:extLst>
                          </a:blip>
                          <a:stretch>
                            <a:fillRect/>
                          </a:stretch>
                        </pic:blipFill>
                        <pic:spPr>
                          <a:xfrm>
                            <a:off x="0" y="0"/>
                            <a:ext cx="3390900" cy="1028700"/>
                          </a:xfrm>
                          <a:prstGeom prst="rect">
                            <a:avLst/>
                          </a:prstGeom>
                        </pic:spPr>
                      </pic:pic>
                    </a:graphicData>
                  </a:graphic>
                </wp:inline>
              </w:drawing>
            </w:r>
          </w:p>
        </w:tc>
        <w:tc>
          <w:tcPr>
            <w:tcW w:w="3535" w:type="dxa"/>
          </w:tcPr>
          <w:p w14:paraId="6DDDAE4C" w14:textId="733A3588" w:rsidR="59BD4447" w:rsidRDefault="59BD4447" w:rsidP="59BD4447">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1762AA65" w14:textId="6F7049C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Aplicación de Energía Eólica con Generador Síncrono de Imanes Permanentes con SCADA.</w:t>
            </w:r>
            <w:r w:rsidRPr="3C234025">
              <w:rPr>
                <w:rFonts w:asciiTheme="minorHAnsi" w:eastAsiaTheme="minorEastAsia" w:hAnsiTheme="minorHAnsi" w:cstheme="minorBidi"/>
                <w:sz w:val="20"/>
                <w:szCs w:val="20"/>
              </w:rPr>
              <w:t xml:space="preserve"> Permitir el monitoreo y control de sistemas eólicos mediante software de supervisión. </w:t>
            </w:r>
          </w:p>
          <w:p w14:paraId="7AE4D84F" w14:textId="0D14CCCE" w:rsidR="59BD4447" w:rsidRDefault="59BD4447" w:rsidP="3C234025">
            <w:pPr>
              <w:jc w:val="both"/>
              <w:rPr>
                <w:rFonts w:asciiTheme="minorHAnsi" w:eastAsiaTheme="minorEastAsia" w:hAnsiTheme="minorHAnsi" w:cstheme="minorBidi"/>
                <w:b/>
                <w:bCs/>
                <w:sz w:val="20"/>
                <w:szCs w:val="20"/>
              </w:rPr>
            </w:pPr>
          </w:p>
          <w:p w14:paraId="7F3C3BCF" w14:textId="4BADABF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370D0438" w14:textId="42A3D28C"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eólico con plataforma SCADA para visualización de variables eléctricas y operación del sistema. Debe contar con sistema SCADA para adquisición, gestión y visualización de datos en tiempo real, registro automático de variables, análisis posterior y control del sistema desde computador. Motor-generador PMSG: potencia 0.6 kVA, 24 VAC, 850 rpm, 8 polos. SCADA con registro automático de: tensión CC del bus, corriente de carga, potencia activa y reactiva, velocidad del generador y estado de la batería. Software compatible con Windows, desarrollado en entorno gráfico (tipo LabVIEW). Comunicación PC mediante USB o Ethernet. Capacidad de análisis comparativo de datos post-experimento.</w:t>
            </w:r>
          </w:p>
        </w:tc>
      </w:tr>
      <w:tr w:rsidR="59BD4447" w14:paraId="5FC8AF08" w14:textId="77777777" w:rsidTr="6F1EDA97">
        <w:trPr>
          <w:trHeight w:val="5460"/>
        </w:trPr>
        <w:tc>
          <w:tcPr>
            <w:tcW w:w="645" w:type="dxa"/>
          </w:tcPr>
          <w:p w14:paraId="752D2E6A" w14:textId="7E93CB11" w:rsidR="20EF7D4D" w:rsidRDefault="20EF7D4D" w:rsidP="62C29527">
            <w:pPr>
              <w:jc w:val="center"/>
            </w:pPr>
            <w:r>
              <w:t>6</w:t>
            </w:r>
          </w:p>
        </w:tc>
        <w:tc>
          <w:tcPr>
            <w:tcW w:w="5570" w:type="dxa"/>
          </w:tcPr>
          <w:p w14:paraId="7E39B2E0" w14:textId="4D4F87ED" w:rsidR="59BD4447" w:rsidRDefault="59BD4447" w:rsidP="68D41FDE">
            <w:pPr>
              <w:jc w:val="center"/>
            </w:pPr>
            <w:r>
              <w:rPr>
                <w:noProof/>
              </w:rPr>
              <w:drawing>
                <wp:inline distT="0" distB="0" distL="0" distR="0" wp14:anchorId="7C24F3F8" wp14:editId="754250F9">
                  <wp:extent cx="1876699" cy="2724530"/>
                  <wp:effectExtent l="0" t="0" r="0" b="0"/>
                  <wp:docPr id="20925313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31340" name="Picture 2092531340"/>
                          <pic:cNvPicPr/>
                        </pic:nvPicPr>
                        <pic:blipFill>
                          <a:blip r:embed="rId71">
                            <a:extLst>
                              <a:ext uri="{28A0092B-C50C-407E-A947-70E740481C1C}">
                                <a14:useLocalDpi xmlns:a14="http://schemas.microsoft.com/office/drawing/2010/main"/>
                              </a:ext>
                            </a:extLst>
                          </a:blip>
                          <a:srcRect l="9216"/>
                          <a:stretch>
                            <a:fillRect/>
                          </a:stretch>
                        </pic:blipFill>
                        <pic:spPr>
                          <a:xfrm>
                            <a:off x="0" y="0"/>
                            <a:ext cx="1876699" cy="2724530"/>
                          </a:xfrm>
                          <a:prstGeom prst="rect">
                            <a:avLst/>
                          </a:prstGeom>
                        </pic:spPr>
                      </pic:pic>
                    </a:graphicData>
                  </a:graphic>
                </wp:inline>
              </w:drawing>
            </w:r>
          </w:p>
        </w:tc>
        <w:tc>
          <w:tcPr>
            <w:tcW w:w="3535" w:type="dxa"/>
          </w:tcPr>
          <w:p w14:paraId="673E6B2A" w14:textId="3DBC082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2A585FF7" w14:textId="1B1F7FD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Aerogenerador Pequeño de Imanes Permanentes.</w:t>
            </w:r>
            <w:r w:rsidRPr="3C234025">
              <w:rPr>
                <w:rFonts w:asciiTheme="minorHAnsi" w:eastAsiaTheme="minorEastAsia" w:hAnsiTheme="minorHAnsi" w:cstheme="minorBidi"/>
                <w:sz w:val="20"/>
                <w:szCs w:val="20"/>
              </w:rPr>
              <w:t xml:space="preserve"> Permitir experimentación con generación eólica en laboratorio.</w:t>
            </w:r>
          </w:p>
          <w:p w14:paraId="4147B9F8" w14:textId="6FD2F4D9" w:rsidR="59BD4447" w:rsidRDefault="59BD4447" w:rsidP="3C234025">
            <w:pPr>
              <w:jc w:val="both"/>
              <w:rPr>
                <w:rFonts w:asciiTheme="minorHAnsi" w:eastAsiaTheme="minorEastAsia" w:hAnsiTheme="minorHAnsi" w:cstheme="minorBidi"/>
                <w:sz w:val="20"/>
                <w:szCs w:val="20"/>
              </w:rPr>
            </w:pPr>
          </w:p>
          <w:p w14:paraId="7124941B" w14:textId="1F18384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35E2B6D9" w14:textId="3B1ECAC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Aerogenerador didáctico de imanes permanentes a escala de laboratorio (segunda unidad). Potencia nominal: 300-500 W. Generador de imanes permanentes trifásico: tensión nominal 24 VAC. Regulador de carga incluido: entradas trifásicas 24 VAC, salidas DC para carga de batería, interruptor de freno, potenciómetro de ajuste de voltaje, pantalla de nivel de batería. Sistema de control de velocidad mediante variador de frecuencia 0-60 Hz. Fusibles de protección 2×16 A. Cables de conexión para ejercicios de prácticas incluidos.</w:t>
            </w:r>
          </w:p>
        </w:tc>
      </w:tr>
      <w:tr w:rsidR="59BD4447" w14:paraId="75B6CD43" w14:textId="77777777" w:rsidTr="6F1EDA97">
        <w:trPr>
          <w:trHeight w:val="300"/>
        </w:trPr>
        <w:tc>
          <w:tcPr>
            <w:tcW w:w="645" w:type="dxa"/>
          </w:tcPr>
          <w:p w14:paraId="028AA19E" w14:textId="44FF931A" w:rsidR="6EF01093" w:rsidRDefault="6EF01093" w:rsidP="62C29527">
            <w:r>
              <w:t>7</w:t>
            </w:r>
          </w:p>
        </w:tc>
        <w:tc>
          <w:tcPr>
            <w:tcW w:w="5570" w:type="dxa"/>
          </w:tcPr>
          <w:p w14:paraId="685BB1B2" w14:textId="5FFDB292" w:rsidR="59BD4447" w:rsidRDefault="59BD4447" w:rsidP="68D41FDE">
            <w:r>
              <w:rPr>
                <w:noProof/>
              </w:rPr>
              <w:drawing>
                <wp:inline distT="0" distB="0" distL="0" distR="0" wp14:anchorId="5387A374" wp14:editId="6341386E">
                  <wp:extent cx="2752725" cy="1266825"/>
                  <wp:effectExtent l="0" t="0" r="0" b="0"/>
                  <wp:docPr id="15598225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22545" name="Picture 1559822545"/>
                          <pic:cNvPicPr/>
                        </pic:nvPicPr>
                        <pic:blipFill>
                          <a:blip r:embed="rId72">
                            <a:extLst>
                              <a:ext uri="{28A0092B-C50C-407E-A947-70E740481C1C}">
                                <a14:useLocalDpi xmlns:a14="http://schemas.microsoft.com/office/drawing/2010/main"/>
                              </a:ext>
                            </a:extLst>
                          </a:blip>
                          <a:stretch>
                            <a:fillRect/>
                          </a:stretch>
                        </pic:blipFill>
                        <pic:spPr>
                          <a:xfrm>
                            <a:off x="0" y="0"/>
                            <a:ext cx="2752725" cy="1266825"/>
                          </a:xfrm>
                          <a:prstGeom prst="rect">
                            <a:avLst/>
                          </a:prstGeom>
                        </pic:spPr>
                      </pic:pic>
                    </a:graphicData>
                  </a:graphic>
                </wp:inline>
              </w:drawing>
            </w:r>
          </w:p>
        </w:tc>
        <w:tc>
          <w:tcPr>
            <w:tcW w:w="3535" w:type="dxa"/>
          </w:tcPr>
          <w:p w14:paraId="2280289D" w14:textId="3255CAD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2EB12EE8" w14:textId="227E405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Aplicación de Plantas de Potencia Eólicas con Generador de Inducción Controlado desde PC.</w:t>
            </w:r>
            <w:r w:rsidRPr="3C234025">
              <w:rPr>
                <w:rFonts w:asciiTheme="minorHAnsi" w:eastAsiaTheme="minorEastAsia" w:hAnsiTheme="minorHAnsi" w:cstheme="minorBidi"/>
                <w:sz w:val="20"/>
                <w:szCs w:val="20"/>
              </w:rPr>
              <w:t xml:space="preserve"> Permitir el análisis del comportamiento de plantas eólicas mediante control digital.</w:t>
            </w:r>
          </w:p>
          <w:p w14:paraId="04CA7233" w14:textId="2FBCA397" w:rsidR="59BD4447" w:rsidRDefault="59BD4447" w:rsidP="3C234025">
            <w:pPr>
              <w:jc w:val="both"/>
              <w:rPr>
                <w:rFonts w:asciiTheme="minorHAnsi" w:eastAsiaTheme="minorEastAsia" w:hAnsiTheme="minorHAnsi" w:cstheme="minorBidi"/>
                <w:sz w:val="20"/>
                <w:szCs w:val="20"/>
              </w:rPr>
            </w:pPr>
          </w:p>
          <w:p w14:paraId="7A440312" w14:textId="63001FF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4ACDA4D0" w14:textId="54D57C0B" w:rsidR="59BD4447" w:rsidRDefault="632395EB"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Sistema didáctico con generador de inducción doblemente alimentado (DFIG) controlado desde PC (tipo AEL-WPP o equivalente). DFIG: potencia nominal 1.5 kW, tensión 3×400/230 VAC Y/Δ, frecuencia 50/60 Hz, 2 polos, 3000 rpm, corriente nominal 2.5/4.4 A Y/Δ. Motor de accionamiento (simulación de turbina eólica): 1 kW, 3×400/230 VAC, 2 polos, 3000 rpm, corriente nominal 1.7/3 A Y/Δ. Módulo de control DFIG (N-DFGC): sincronización automática a red, control autónomo de potencia activa y reactiva, tensión de conexión 3×400 V/50-60 Hz. Inversor back-to-back para extracción de potencia del </w:t>
            </w:r>
            <w:bookmarkStart w:id="3" w:name="_Int_QMbsMlG5"/>
            <w:r w:rsidRPr="3C234025">
              <w:rPr>
                <w:rFonts w:asciiTheme="minorHAnsi" w:eastAsiaTheme="minorEastAsia" w:hAnsiTheme="minorHAnsi" w:cstheme="minorBidi"/>
                <w:sz w:val="20"/>
                <w:szCs w:val="20"/>
              </w:rPr>
              <w:t>rotor</w:t>
            </w:r>
            <w:bookmarkEnd w:id="3"/>
            <w:r w:rsidRPr="3C234025">
              <w:rPr>
                <w:rFonts w:asciiTheme="minorHAnsi" w:eastAsiaTheme="minorEastAsia" w:hAnsiTheme="minorHAnsi" w:cstheme="minorBidi"/>
                <w:sz w:val="20"/>
                <w:szCs w:val="20"/>
              </w:rPr>
              <w:t>. Módulo de simulación de huecos de tensión (FRT): niveles 0%, 20%, 40%, 60%, duración configurable 50-500 ms. Sistema SCADA con software basado en LabVIEW.</w:t>
            </w:r>
          </w:p>
        </w:tc>
      </w:tr>
      <w:tr w:rsidR="59BD4447" w14:paraId="4F88C6B4" w14:textId="77777777" w:rsidTr="6F1EDA97">
        <w:trPr>
          <w:trHeight w:val="300"/>
        </w:trPr>
        <w:tc>
          <w:tcPr>
            <w:tcW w:w="645" w:type="dxa"/>
          </w:tcPr>
          <w:p w14:paraId="07BF0B31" w14:textId="6A85CF66" w:rsidR="6EF01093" w:rsidRDefault="6EF01093"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8</w:t>
            </w:r>
          </w:p>
        </w:tc>
        <w:tc>
          <w:tcPr>
            <w:tcW w:w="5570" w:type="dxa"/>
          </w:tcPr>
          <w:p w14:paraId="7F8F2620" w14:textId="6D2A0DDA" w:rsidR="59BD4447" w:rsidRDefault="633E400F" w:rsidP="62C29527">
            <w:r>
              <w:rPr>
                <w:noProof/>
              </w:rPr>
              <w:drawing>
                <wp:inline distT="0" distB="0" distL="0" distR="0" wp14:anchorId="593C147F" wp14:editId="40043248">
                  <wp:extent cx="3390900" cy="1895475"/>
                  <wp:effectExtent l="0" t="0" r="0" b="0"/>
                  <wp:docPr id="39699879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98791" name="Picture 396998791"/>
                          <pic:cNvPicPr/>
                        </pic:nvPicPr>
                        <pic:blipFill>
                          <a:blip r:embed="rId73">
                            <a:extLst>
                              <a:ext uri="{28A0092B-C50C-407E-A947-70E740481C1C}">
                                <a14:useLocalDpi xmlns:a14="http://schemas.microsoft.com/office/drawing/2010/main"/>
                              </a:ext>
                            </a:extLst>
                          </a:blip>
                          <a:stretch>
                            <a:fillRect/>
                          </a:stretch>
                        </pic:blipFill>
                        <pic:spPr>
                          <a:xfrm>
                            <a:off x="0" y="0"/>
                            <a:ext cx="3390900" cy="1895475"/>
                          </a:xfrm>
                          <a:prstGeom prst="rect">
                            <a:avLst/>
                          </a:prstGeom>
                        </pic:spPr>
                      </pic:pic>
                    </a:graphicData>
                  </a:graphic>
                </wp:inline>
              </w:drawing>
            </w:r>
          </w:p>
        </w:tc>
        <w:tc>
          <w:tcPr>
            <w:tcW w:w="3535" w:type="dxa"/>
          </w:tcPr>
          <w:p w14:paraId="11CC3438" w14:textId="7FE6549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6D4404E9" w14:textId="616FA4C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Módulos de Resistencias Variables Trifásicos de 1 kW.</w:t>
            </w:r>
            <w:r w:rsidRPr="3C234025">
              <w:rPr>
                <w:rFonts w:asciiTheme="minorHAnsi" w:eastAsiaTheme="minorEastAsia" w:hAnsiTheme="minorHAnsi" w:cstheme="minorBidi"/>
                <w:sz w:val="20"/>
                <w:szCs w:val="20"/>
              </w:rPr>
              <w:t xml:space="preserve"> Permitir la simulación de cargas eléctricas para pruebas del sistema eólico. </w:t>
            </w:r>
          </w:p>
          <w:p w14:paraId="148E8E74" w14:textId="36BB1372" w:rsidR="59BD4447" w:rsidRDefault="59BD4447" w:rsidP="3C234025">
            <w:pPr>
              <w:jc w:val="both"/>
              <w:rPr>
                <w:rFonts w:asciiTheme="minorHAnsi" w:eastAsiaTheme="minorEastAsia" w:hAnsiTheme="minorHAnsi" w:cstheme="minorBidi"/>
                <w:b/>
                <w:bCs/>
                <w:sz w:val="20"/>
                <w:szCs w:val="20"/>
              </w:rPr>
            </w:pPr>
          </w:p>
          <w:p w14:paraId="05187DB9" w14:textId="53D48BC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4907AD79" w14:textId="515C4F6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Banco de resistencias trifásicas variables de aproximadamente 1 kW para simulación de carga eléctrica. Potencia total: 3 kW (1 kW por fase). Tensión nominal: 3×400 VAC, 50/60 Hz. Resistencia variable por fase: 0-600 Ω aproximado. Conexión configurable estrella o triángulo. Control mediante potenciómetros de precisión o conmutadores de pasos. Protecciones con fusibles por fase. Terminales de medición accesibles.</w:t>
            </w:r>
          </w:p>
        </w:tc>
      </w:tr>
      <w:tr w:rsidR="59BD4447" w14:paraId="66D049A6" w14:textId="77777777" w:rsidTr="6F1EDA97">
        <w:trPr>
          <w:trHeight w:val="300"/>
        </w:trPr>
        <w:tc>
          <w:tcPr>
            <w:tcW w:w="645" w:type="dxa"/>
          </w:tcPr>
          <w:p w14:paraId="6567B2B6" w14:textId="019ECD56" w:rsidR="1E293172" w:rsidRDefault="1E293172" w:rsidP="62C29527">
            <w:r>
              <w:t>9</w:t>
            </w:r>
          </w:p>
        </w:tc>
        <w:tc>
          <w:tcPr>
            <w:tcW w:w="5570" w:type="dxa"/>
          </w:tcPr>
          <w:p w14:paraId="11E5E4F9" w14:textId="1078C6B3" w:rsidR="59BD4447" w:rsidRDefault="59BD4447" w:rsidP="68D41FDE">
            <w:r>
              <w:rPr>
                <w:noProof/>
              </w:rPr>
              <w:drawing>
                <wp:inline distT="0" distB="0" distL="0" distR="0" wp14:anchorId="3E7978BE" wp14:editId="4C8298D7">
                  <wp:extent cx="2752725" cy="1628775"/>
                  <wp:effectExtent l="0" t="0" r="0" b="0"/>
                  <wp:docPr id="17840225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022535" name="Picture 1784022535"/>
                          <pic:cNvPicPr/>
                        </pic:nvPicPr>
                        <pic:blipFill>
                          <a:blip r:embed="rId74">
                            <a:extLst>
                              <a:ext uri="{28A0092B-C50C-407E-A947-70E740481C1C}">
                                <a14:useLocalDpi xmlns:a14="http://schemas.microsoft.com/office/drawing/2010/main"/>
                              </a:ext>
                            </a:extLst>
                          </a:blip>
                          <a:stretch>
                            <a:fillRect/>
                          </a:stretch>
                        </pic:blipFill>
                        <pic:spPr>
                          <a:xfrm>
                            <a:off x="0" y="0"/>
                            <a:ext cx="2752725" cy="1628775"/>
                          </a:xfrm>
                          <a:prstGeom prst="rect">
                            <a:avLst/>
                          </a:prstGeom>
                        </pic:spPr>
                      </pic:pic>
                    </a:graphicData>
                  </a:graphic>
                </wp:inline>
              </w:drawing>
            </w:r>
          </w:p>
        </w:tc>
        <w:tc>
          <w:tcPr>
            <w:tcW w:w="3535" w:type="dxa"/>
          </w:tcPr>
          <w:p w14:paraId="5AA17ABB" w14:textId="3FDFAD8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3CED384F" w14:textId="73F28E8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Módulo de Inductancias Configurables Trifásico de 3 × 300 Var.</w:t>
            </w:r>
            <w:r w:rsidRPr="3C234025">
              <w:rPr>
                <w:rFonts w:asciiTheme="minorHAnsi" w:eastAsiaTheme="minorEastAsia" w:hAnsiTheme="minorHAnsi" w:cstheme="minorBidi"/>
                <w:sz w:val="20"/>
                <w:szCs w:val="20"/>
              </w:rPr>
              <w:t xml:space="preserve"> Permitir el análisis de comportamiento inductivo en sistemas eléctricos. </w:t>
            </w:r>
          </w:p>
          <w:p w14:paraId="392554FE" w14:textId="626289F9" w:rsidR="59BD4447" w:rsidRDefault="59BD4447" w:rsidP="3C234025">
            <w:pPr>
              <w:jc w:val="both"/>
              <w:rPr>
                <w:rFonts w:asciiTheme="minorHAnsi" w:eastAsiaTheme="minorEastAsia" w:hAnsiTheme="minorHAnsi" w:cstheme="minorBidi"/>
                <w:b/>
                <w:bCs/>
                <w:sz w:val="20"/>
                <w:szCs w:val="20"/>
              </w:rPr>
            </w:pPr>
          </w:p>
          <w:p w14:paraId="3AD1B50A" w14:textId="4C6EC7B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79EDD6D5" w14:textId="0641BE0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Módulo de inductancias configurables trifásico de 3×300 VAR. Potencia reactiva inductiva total: 900 VAR (300 VAR por fase). Tensión nominal: 3×400 VAC, 50/60 Hz. Inductancia variable configurable mediante conmutadores en pasos. Corriente nominal por fase: ≈ 2-3 A a 400 VAC. Factor de pérdidas (tan δ) ≤ 0.05. Protecciones integradas. Terminales de medición accesibles mediante bornes seguros.</w:t>
            </w:r>
          </w:p>
        </w:tc>
      </w:tr>
      <w:tr w:rsidR="59BD4447" w14:paraId="10E70B0D" w14:textId="77777777" w:rsidTr="6F1EDA97">
        <w:trPr>
          <w:trHeight w:val="300"/>
        </w:trPr>
        <w:tc>
          <w:tcPr>
            <w:tcW w:w="645" w:type="dxa"/>
          </w:tcPr>
          <w:p w14:paraId="47830910" w14:textId="0EF2BAFB" w:rsidR="645F8586" w:rsidRDefault="645F8586" w:rsidP="62C29527">
            <w:r>
              <w:t>10</w:t>
            </w:r>
          </w:p>
        </w:tc>
        <w:tc>
          <w:tcPr>
            <w:tcW w:w="5570" w:type="dxa"/>
          </w:tcPr>
          <w:p w14:paraId="5088714B" w14:textId="372C56F5" w:rsidR="59BD4447" w:rsidRDefault="59BD4447" w:rsidP="68D41FDE">
            <w:r>
              <w:rPr>
                <w:noProof/>
              </w:rPr>
              <w:drawing>
                <wp:inline distT="0" distB="0" distL="0" distR="0" wp14:anchorId="5CE5515B" wp14:editId="424D01D7">
                  <wp:extent cx="2752725" cy="1676400"/>
                  <wp:effectExtent l="0" t="0" r="0" b="0"/>
                  <wp:docPr id="20696168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16818" name="Picture 2069616818"/>
                          <pic:cNvPicPr/>
                        </pic:nvPicPr>
                        <pic:blipFill>
                          <a:blip r:embed="rId75">
                            <a:extLst>
                              <a:ext uri="{28A0092B-C50C-407E-A947-70E740481C1C}">
                                <a14:useLocalDpi xmlns:a14="http://schemas.microsoft.com/office/drawing/2010/main"/>
                              </a:ext>
                            </a:extLst>
                          </a:blip>
                          <a:stretch>
                            <a:fillRect/>
                          </a:stretch>
                        </pic:blipFill>
                        <pic:spPr>
                          <a:xfrm>
                            <a:off x="0" y="0"/>
                            <a:ext cx="2752725" cy="1676400"/>
                          </a:xfrm>
                          <a:prstGeom prst="rect">
                            <a:avLst/>
                          </a:prstGeom>
                        </pic:spPr>
                      </pic:pic>
                    </a:graphicData>
                  </a:graphic>
                </wp:inline>
              </w:drawing>
            </w:r>
          </w:p>
        </w:tc>
        <w:tc>
          <w:tcPr>
            <w:tcW w:w="3535" w:type="dxa"/>
          </w:tcPr>
          <w:p w14:paraId="79BF4C27" w14:textId="0D33DBE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6A7E5D68" w14:textId="027E1D9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Módulo de Instrumentación.</w:t>
            </w:r>
            <w:r w:rsidRPr="3C234025">
              <w:rPr>
                <w:rFonts w:asciiTheme="minorHAnsi" w:eastAsiaTheme="minorEastAsia" w:hAnsiTheme="minorHAnsi" w:cstheme="minorBidi"/>
                <w:sz w:val="20"/>
                <w:szCs w:val="20"/>
              </w:rPr>
              <w:t xml:space="preserve"> Permitir medición y monitoreo de variables eléctricas. </w:t>
            </w:r>
          </w:p>
          <w:p w14:paraId="1F04FF1F" w14:textId="38CD0322" w:rsidR="59BD4447" w:rsidRDefault="59BD4447" w:rsidP="3C234025">
            <w:pPr>
              <w:jc w:val="both"/>
              <w:rPr>
                <w:rFonts w:asciiTheme="minorHAnsi" w:eastAsiaTheme="minorEastAsia" w:hAnsiTheme="minorHAnsi" w:cstheme="minorBidi"/>
                <w:b/>
                <w:bCs/>
                <w:sz w:val="20"/>
                <w:szCs w:val="20"/>
              </w:rPr>
            </w:pPr>
          </w:p>
          <w:p w14:paraId="19EF9905" w14:textId="7EAA497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6D42B16F" w14:textId="327EC90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Módulo de instrumentación trifásica digital para medición de variables eléctricas. Medidor de potencia trifásico multifunción: tensión fase-fase y fase-neutro (rango 100-400 VAC), corriente de línea 0-10 A, potencia activa, reactiva y aparente, factor de potencia cos φ (-1 a +1), frecuencia 45-65 Hz. Análisis de armónicos individuales de corriente y tensión hasta el armónico 40. THD de tensión y corriente. Display LCD con visualización de diagrama vectorial V-I. Almacenamiento interno de datos históricos. Puerto de comunicaciones RS-485 Modbus RTU.</w:t>
            </w:r>
          </w:p>
        </w:tc>
      </w:tr>
      <w:tr w:rsidR="59BD4447" w14:paraId="7F7CD8AD" w14:textId="77777777" w:rsidTr="6F1EDA97">
        <w:trPr>
          <w:trHeight w:val="300"/>
        </w:trPr>
        <w:tc>
          <w:tcPr>
            <w:tcW w:w="645" w:type="dxa"/>
          </w:tcPr>
          <w:p w14:paraId="56F6AA23" w14:textId="578078E1" w:rsidR="6654965C" w:rsidRDefault="6654965C" w:rsidP="62C29527">
            <w:r>
              <w:t>11</w:t>
            </w:r>
          </w:p>
        </w:tc>
        <w:tc>
          <w:tcPr>
            <w:tcW w:w="5570" w:type="dxa"/>
          </w:tcPr>
          <w:p w14:paraId="6D4699F9" w14:textId="41559A04" w:rsidR="59BD4447" w:rsidRDefault="59BD4447" w:rsidP="68D41FDE">
            <w:r>
              <w:rPr>
                <w:noProof/>
              </w:rPr>
              <w:drawing>
                <wp:inline distT="0" distB="0" distL="0" distR="0" wp14:anchorId="63609664" wp14:editId="6A2E1B4F">
                  <wp:extent cx="2752725" cy="1533525"/>
                  <wp:effectExtent l="0" t="0" r="0" b="0"/>
                  <wp:docPr id="7359768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76874" name="Picture 735976874"/>
                          <pic:cNvPicPr/>
                        </pic:nvPicPr>
                        <pic:blipFill>
                          <a:blip r:embed="rId76">
                            <a:extLst>
                              <a:ext uri="{28A0092B-C50C-407E-A947-70E740481C1C}">
                                <a14:useLocalDpi xmlns:a14="http://schemas.microsoft.com/office/drawing/2010/main"/>
                              </a:ext>
                            </a:extLst>
                          </a:blip>
                          <a:stretch>
                            <a:fillRect/>
                          </a:stretch>
                        </pic:blipFill>
                        <pic:spPr>
                          <a:xfrm>
                            <a:off x="0" y="0"/>
                            <a:ext cx="2752725" cy="1533525"/>
                          </a:xfrm>
                          <a:prstGeom prst="rect">
                            <a:avLst/>
                          </a:prstGeom>
                        </pic:spPr>
                      </pic:pic>
                    </a:graphicData>
                  </a:graphic>
                </wp:inline>
              </w:drawing>
            </w:r>
          </w:p>
        </w:tc>
        <w:tc>
          <w:tcPr>
            <w:tcW w:w="3535" w:type="dxa"/>
          </w:tcPr>
          <w:p w14:paraId="6A7F2418" w14:textId="066CAAE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5751052C" w14:textId="379EF45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Módulo de Resistencias Configurables Trifásico.</w:t>
            </w:r>
            <w:r w:rsidRPr="3C234025">
              <w:rPr>
                <w:rFonts w:asciiTheme="minorHAnsi" w:eastAsiaTheme="minorEastAsia" w:hAnsiTheme="minorHAnsi" w:cstheme="minorBidi"/>
                <w:sz w:val="20"/>
                <w:szCs w:val="20"/>
              </w:rPr>
              <w:t xml:space="preserve"> Permitir pruebas de comportamiento eléctrico bajo diferentes condiciones de carga. </w:t>
            </w:r>
          </w:p>
          <w:p w14:paraId="63227704" w14:textId="7DBEDB89" w:rsidR="59BD4447" w:rsidRDefault="59BD4447" w:rsidP="3C234025">
            <w:pPr>
              <w:jc w:val="both"/>
              <w:rPr>
                <w:rFonts w:asciiTheme="minorHAnsi" w:eastAsiaTheme="minorEastAsia" w:hAnsiTheme="minorHAnsi" w:cstheme="minorBidi"/>
                <w:b/>
                <w:bCs/>
                <w:sz w:val="20"/>
                <w:szCs w:val="20"/>
              </w:rPr>
            </w:pPr>
          </w:p>
          <w:p w14:paraId="429DE112" w14:textId="3D04501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338B9044" w14:textId="7EB18419"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Módulo de resistencias configurables trifásico para simulación de carga eléctrica. Configuración de pasos fijos mediante conmutadores o puentes de conexión. Potencia nominal: ≥ 1 kW por fase (3 kW total). Tensión nominal: 3×400 VAC, 50/60 Hz. Resistencias de alta estabilidad (deriva ≤ 0.5% por ciclo térmico). Protecciones térmicas individuales por fase. Conexión estrella/triángulo seleccionable. Terminales de medición accesibles con bornes seguros 4 mm.</w:t>
            </w:r>
          </w:p>
        </w:tc>
      </w:tr>
      <w:tr w:rsidR="59BD4447" w14:paraId="3AE8F869" w14:textId="77777777" w:rsidTr="6F1EDA97">
        <w:trPr>
          <w:trHeight w:val="300"/>
        </w:trPr>
        <w:tc>
          <w:tcPr>
            <w:tcW w:w="645" w:type="dxa"/>
          </w:tcPr>
          <w:p w14:paraId="7D5B6B91" w14:textId="6BBCBC5D" w:rsidR="6654965C" w:rsidRDefault="6654965C" w:rsidP="62C29527">
            <w:r>
              <w:t>12</w:t>
            </w:r>
          </w:p>
        </w:tc>
        <w:tc>
          <w:tcPr>
            <w:tcW w:w="5570" w:type="dxa"/>
          </w:tcPr>
          <w:p w14:paraId="2004AC05" w14:textId="411B6EF5" w:rsidR="59BD4447" w:rsidRDefault="59BD4447" w:rsidP="68D41FDE">
            <w:r>
              <w:rPr>
                <w:noProof/>
              </w:rPr>
              <w:drawing>
                <wp:inline distT="0" distB="0" distL="0" distR="0" wp14:anchorId="6BD7BB97" wp14:editId="58D23AF8">
                  <wp:extent cx="2752725" cy="2581275"/>
                  <wp:effectExtent l="0" t="0" r="0" b="0"/>
                  <wp:docPr id="3457181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718107" name="Picture 345718107"/>
                          <pic:cNvPicPr/>
                        </pic:nvPicPr>
                        <pic:blipFill>
                          <a:blip r:embed="rId77">
                            <a:extLst>
                              <a:ext uri="{28A0092B-C50C-407E-A947-70E740481C1C}">
                                <a14:useLocalDpi xmlns:a14="http://schemas.microsoft.com/office/drawing/2010/main"/>
                              </a:ext>
                            </a:extLst>
                          </a:blip>
                          <a:stretch>
                            <a:fillRect/>
                          </a:stretch>
                        </pic:blipFill>
                        <pic:spPr>
                          <a:xfrm>
                            <a:off x="0" y="0"/>
                            <a:ext cx="2752725" cy="2581275"/>
                          </a:xfrm>
                          <a:prstGeom prst="rect">
                            <a:avLst/>
                          </a:prstGeom>
                        </pic:spPr>
                      </pic:pic>
                    </a:graphicData>
                  </a:graphic>
                </wp:inline>
              </w:drawing>
            </w:r>
          </w:p>
        </w:tc>
        <w:tc>
          <w:tcPr>
            <w:tcW w:w="3535" w:type="dxa"/>
          </w:tcPr>
          <w:p w14:paraId="1D4CF7DA" w14:textId="57AD452C"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7FE0C1E1" w14:textId="6FA0BBB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Aplicación de Centrales Eólicas con Generador de Inducción.</w:t>
            </w:r>
            <w:r w:rsidRPr="3C234025">
              <w:rPr>
                <w:rFonts w:asciiTheme="minorHAnsi" w:eastAsiaTheme="minorEastAsia" w:hAnsiTheme="minorHAnsi" w:cstheme="minorBidi"/>
                <w:sz w:val="20"/>
                <w:szCs w:val="20"/>
              </w:rPr>
              <w:t xml:space="preserve"> Permitir el estudio del comportamiento de generadores de inducción en sistemas eólicos. </w:t>
            </w:r>
          </w:p>
          <w:p w14:paraId="31C3FACB" w14:textId="20ED3908" w:rsidR="59BD4447" w:rsidRDefault="59BD4447" w:rsidP="3C234025">
            <w:pPr>
              <w:jc w:val="both"/>
              <w:rPr>
                <w:rFonts w:asciiTheme="minorHAnsi" w:eastAsiaTheme="minorEastAsia" w:hAnsiTheme="minorHAnsi" w:cstheme="minorBidi"/>
                <w:b/>
                <w:bCs/>
                <w:sz w:val="20"/>
                <w:szCs w:val="20"/>
              </w:rPr>
            </w:pPr>
          </w:p>
          <w:p w14:paraId="3B64A4A7" w14:textId="07DE5D0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542F86DC" w14:textId="3E3BC79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didáctico con generador de inducción trifásico para estudio de plantas eólicas. Generador de inducción trifásico tipo jaula de ardilla: potencia nominal ≈ 550-750 W, tensión 3×400/230 VAC Δ/Y, 4-8 polos, velocidad nominal 1500-3000 rpm. Motor de accionamiento con variador de frecuencia (VFD) para simulación de velocidad variable del viento. Módulo de monitoreo: medición de tensión generada, corriente, potencia activa y reactiva. Capacitores de compensación de reactivo para arranque autónomo (banco de 3×μF). Medición de velocidad de rotación mediante encoder óptico.</w:t>
            </w:r>
          </w:p>
        </w:tc>
      </w:tr>
      <w:tr w:rsidR="59BD4447" w14:paraId="2A68C21E" w14:textId="77777777" w:rsidTr="6F1EDA97">
        <w:trPr>
          <w:trHeight w:val="300"/>
        </w:trPr>
        <w:tc>
          <w:tcPr>
            <w:tcW w:w="645" w:type="dxa"/>
          </w:tcPr>
          <w:p w14:paraId="70F47CA0" w14:textId="78DFE56A" w:rsidR="2B56F659" w:rsidRDefault="2B56F659" w:rsidP="62C29527">
            <w:r>
              <w:t>13</w:t>
            </w:r>
          </w:p>
        </w:tc>
        <w:tc>
          <w:tcPr>
            <w:tcW w:w="5570" w:type="dxa"/>
          </w:tcPr>
          <w:p w14:paraId="2EA1371A" w14:textId="47AFBC74" w:rsidR="59BD4447" w:rsidRDefault="59BD4447" w:rsidP="68D41FDE">
            <w:r>
              <w:rPr>
                <w:noProof/>
              </w:rPr>
              <w:drawing>
                <wp:inline distT="0" distB="0" distL="0" distR="0" wp14:anchorId="68EA2667" wp14:editId="6D5624D2">
                  <wp:extent cx="2752725" cy="1771650"/>
                  <wp:effectExtent l="0" t="0" r="0" b="0"/>
                  <wp:docPr id="13068204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20477" name="Picture 1306820477"/>
                          <pic:cNvPicPr/>
                        </pic:nvPicPr>
                        <pic:blipFill>
                          <a:blip r:embed="rId78">
                            <a:extLst>
                              <a:ext uri="{28A0092B-C50C-407E-A947-70E740481C1C}">
                                <a14:useLocalDpi xmlns:a14="http://schemas.microsoft.com/office/drawing/2010/main"/>
                              </a:ext>
                            </a:extLst>
                          </a:blip>
                          <a:stretch>
                            <a:fillRect/>
                          </a:stretch>
                        </pic:blipFill>
                        <pic:spPr>
                          <a:xfrm>
                            <a:off x="0" y="0"/>
                            <a:ext cx="2752725" cy="1771650"/>
                          </a:xfrm>
                          <a:prstGeom prst="rect">
                            <a:avLst/>
                          </a:prstGeom>
                        </pic:spPr>
                      </pic:pic>
                    </a:graphicData>
                  </a:graphic>
                </wp:inline>
              </w:drawing>
            </w:r>
          </w:p>
        </w:tc>
        <w:tc>
          <w:tcPr>
            <w:tcW w:w="3535" w:type="dxa"/>
          </w:tcPr>
          <w:p w14:paraId="1FBB6B94" w14:textId="268F2B1C"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01DC0987" w14:textId="23F3C712" w:rsidR="59BD4447" w:rsidRDefault="632395EB"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Aplicación de Turbina Eólica en Redes Aisladas.</w:t>
            </w:r>
            <w:r w:rsidRPr="3C234025">
              <w:rPr>
                <w:rFonts w:asciiTheme="minorHAnsi" w:eastAsiaTheme="minorEastAsia" w:hAnsiTheme="minorHAnsi" w:cstheme="minorBidi"/>
                <w:sz w:val="20"/>
                <w:szCs w:val="20"/>
              </w:rPr>
              <w:t xml:space="preserve"> Permitir el estudio de generación eólica en </w:t>
            </w:r>
            <w:r w:rsidR="3D491103" w:rsidRPr="3C234025">
              <w:rPr>
                <w:rFonts w:asciiTheme="minorHAnsi" w:eastAsiaTheme="minorEastAsia" w:hAnsiTheme="minorHAnsi" w:cstheme="minorBidi"/>
                <w:sz w:val="20"/>
                <w:szCs w:val="20"/>
              </w:rPr>
              <w:t>microrredes</w:t>
            </w:r>
            <w:r w:rsidRPr="3C234025">
              <w:rPr>
                <w:rFonts w:asciiTheme="minorHAnsi" w:eastAsiaTheme="minorEastAsia" w:hAnsiTheme="minorHAnsi" w:cstheme="minorBidi"/>
                <w:sz w:val="20"/>
                <w:szCs w:val="20"/>
              </w:rPr>
              <w:t xml:space="preserve"> aisladas.</w:t>
            </w:r>
          </w:p>
          <w:p w14:paraId="4C1E4A24" w14:textId="5BB36E11" w:rsidR="59BD4447" w:rsidRDefault="59BD4447" w:rsidP="3C234025">
            <w:pPr>
              <w:jc w:val="both"/>
              <w:rPr>
                <w:rFonts w:asciiTheme="minorHAnsi" w:eastAsiaTheme="minorEastAsia" w:hAnsiTheme="minorHAnsi" w:cstheme="minorBidi"/>
                <w:sz w:val="20"/>
                <w:szCs w:val="20"/>
              </w:rPr>
            </w:pPr>
          </w:p>
          <w:p w14:paraId="59E2B60A" w14:textId="0C53936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72BBE64D" w14:textId="07E5CFF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didáctico de turbina eólica en red aislada (stand-alone). Generador PMSG o DFIG con inversor de formación de red (grid-forming inverter). Potencia nominal del sistema: ≥ 500 W. Inversor standalone con regulación de tensión (230 VAC ±2%) y frecuencia (50/60 Hz ±0.5 Hz). Banco de baterías de almacenamiento: ≥ 12 V/50 Ah (plomo-ácido o litio). Banco de cargas variables DC y CA para simulación de consumo. Medición de: tensión, corriente, potencia activa/reactiva, SOC de batería.</w:t>
            </w:r>
          </w:p>
        </w:tc>
      </w:tr>
      <w:tr w:rsidR="59BD4447" w14:paraId="61D70C63" w14:textId="77777777" w:rsidTr="6F1EDA97">
        <w:trPr>
          <w:trHeight w:val="300"/>
        </w:trPr>
        <w:tc>
          <w:tcPr>
            <w:tcW w:w="645" w:type="dxa"/>
          </w:tcPr>
          <w:p w14:paraId="135F1AC8" w14:textId="3103D6A1" w:rsidR="63433DDC" w:rsidRDefault="63433DDC" w:rsidP="62C29527">
            <w:r>
              <w:t>14</w:t>
            </w:r>
          </w:p>
        </w:tc>
        <w:tc>
          <w:tcPr>
            <w:tcW w:w="5570" w:type="dxa"/>
          </w:tcPr>
          <w:p w14:paraId="2459CCB8" w14:textId="0E826B93" w:rsidR="59BD4447" w:rsidRDefault="59BD4447" w:rsidP="68D41FDE">
            <w:r>
              <w:rPr>
                <w:noProof/>
              </w:rPr>
              <w:drawing>
                <wp:inline distT="0" distB="0" distL="0" distR="0" wp14:anchorId="03EE1609" wp14:editId="081D5776">
                  <wp:extent cx="2752725" cy="2181225"/>
                  <wp:effectExtent l="0" t="0" r="0" b="0"/>
                  <wp:docPr id="3176756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75667" name="Picture 317675667"/>
                          <pic:cNvPicPr/>
                        </pic:nvPicPr>
                        <pic:blipFill>
                          <a:blip r:embed="rId79">
                            <a:extLst>
                              <a:ext uri="{28A0092B-C50C-407E-A947-70E740481C1C}">
                                <a14:useLocalDpi xmlns:a14="http://schemas.microsoft.com/office/drawing/2010/main"/>
                              </a:ext>
                            </a:extLst>
                          </a:blip>
                          <a:stretch>
                            <a:fillRect/>
                          </a:stretch>
                        </pic:blipFill>
                        <pic:spPr>
                          <a:xfrm>
                            <a:off x="0" y="0"/>
                            <a:ext cx="2752725" cy="2181225"/>
                          </a:xfrm>
                          <a:prstGeom prst="rect">
                            <a:avLst/>
                          </a:prstGeom>
                        </pic:spPr>
                      </pic:pic>
                    </a:graphicData>
                  </a:graphic>
                </wp:inline>
              </w:drawing>
            </w:r>
          </w:p>
        </w:tc>
        <w:tc>
          <w:tcPr>
            <w:tcW w:w="3535" w:type="dxa"/>
          </w:tcPr>
          <w:p w14:paraId="6B35034B" w14:textId="3BE0E3BB"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0842679D" w14:textId="4F5A4F9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Prácticas de Cableado de Sistemas de Energía Eólica.</w:t>
            </w:r>
            <w:r w:rsidRPr="3C234025">
              <w:rPr>
                <w:rFonts w:asciiTheme="minorHAnsi" w:eastAsiaTheme="minorEastAsia" w:hAnsiTheme="minorHAnsi" w:cstheme="minorBidi"/>
                <w:sz w:val="20"/>
                <w:szCs w:val="20"/>
              </w:rPr>
              <w:t xml:space="preserve"> Desarrollar habilidades prácticas de instalación eléctrica.</w:t>
            </w:r>
          </w:p>
          <w:p w14:paraId="30DC8060" w14:textId="06FDDCF4" w:rsidR="59BD4447" w:rsidRDefault="59BD4447" w:rsidP="3C234025">
            <w:pPr>
              <w:jc w:val="both"/>
              <w:rPr>
                <w:rFonts w:asciiTheme="minorHAnsi" w:eastAsiaTheme="minorEastAsia" w:hAnsiTheme="minorHAnsi" w:cstheme="minorBidi"/>
                <w:sz w:val="20"/>
                <w:szCs w:val="20"/>
              </w:rPr>
            </w:pPr>
          </w:p>
          <w:p w14:paraId="4AF25254" w14:textId="3F1BD6D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11713C74" w14:textId="0B3FD8EA" w:rsidR="59BD4447" w:rsidRDefault="632395EB"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Panel didáctico de cableado de sistemas de energía eólica. Tensión de trabajo: 230/400 VAC (trifásico) y hasta 48 VDC. Incluye: magnetotérmicos unipolares y bipolares (1A-16A), diferencial residual (30 mA), fusibles de seguridad (2-16 A), contactores de potencia (bobina 230 VAC), bornes de conexión ≥ 20 unidades. Cable de práctica de sección 1-2.5 mm² con fichas de seguridad. Panel montado sobre perfil DIN en </w:t>
            </w:r>
            <w:bookmarkStart w:id="4" w:name="_Int_BiBA1Lje"/>
            <w:r w:rsidRPr="3C234025">
              <w:rPr>
                <w:rFonts w:asciiTheme="minorHAnsi" w:eastAsiaTheme="minorEastAsia" w:hAnsiTheme="minorHAnsi" w:cstheme="minorBidi"/>
                <w:sz w:val="20"/>
                <w:szCs w:val="20"/>
              </w:rPr>
              <w:t>caja</w:t>
            </w:r>
            <w:bookmarkEnd w:id="4"/>
            <w:r w:rsidRPr="3C234025">
              <w:rPr>
                <w:rFonts w:asciiTheme="minorHAnsi" w:eastAsiaTheme="minorEastAsia" w:hAnsiTheme="minorHAnsi" w:cstheme="minorBidi"/>
                <w:sz w:val="20"/>
                <w:szCs w:val="20"/>
              </w:rPr>
              <w:t xml:space="preserve"> metálica abierta. Esquemas de cableado para al menos 5 configuraciones de prácticas incluidos.</w:t>
            </w:r>
          </w:p>
        </w:tc>
      </w:tr>
      <w:tr w:rsidR="59BD4447" w14:paraId="6ED3E49E" w14:textId="77777777" w:rsidTr="6F1EDA97">
        <w:trPr>
          <w:trHeight w:val="300"/>
        </w:trPr>
        <w:tc>
          <w:tcPr>
            <w:tcW w:w="645" w:type="dxa"/>
          </w:tcPr>
          <w:p w14:paraId="6D5C7515" w14:textId="5F5A4ADF" w:rsidR="63433DDC" w:rsidRDefault="63433DDC"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15</w:t>
            </w:r>
          </w:p>
        </w:tc>
        <w:tc>
          <w:tcPr>
            <w:tcW w:w="5570" w:type="dxa"/>
          </w:tcPr>
          <w:p w14:paraId="4C2852EF" w14:textId="01FF9584" w:rsidR="59BD4447" w:rsidRDefault="57FDD387" w:rsidP="62C29527">
            <w:r>
              <w:rPr>
                <w:noProof/>
              </w:rPr>
              <w:drawing>
                <wp:inline distT="0" distB="0" distL="0" distR="0" wp14:anchorId="60F8DB8C" wp14:editId="6E0ADB16">
                  <wp:extent cx="3390900" cy="1981200"/>
                  <wp:effectExtent l="0" t="0" r="0" b="0"/>
                  <wp:docPr id="6024087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408705" name="Picture 602408705"/>
                          <pic:cNvPicPr/>
                        </pic:nvPicPr>
                        <pic:blipFill>
                          <a:blip r:embed="rId80">
                            <a:extLst>
                              <a:ext uri="{28A0092B-C50C-407E-A947-70E740481C1C}">
                                <a14:useLocalDpi xmlns:a14="http://schemas.microsoft.com/office/drawing/2010/main"/>
                              </a:ext>
                            </a:extLst>
                          </a:blip>
                          <a:stretch>
                            <a:fillRect/>
                          </a:stretch>
                        </pic:blipFill>
                        <pic:spPr>
                          <a:xfrm>
                            <a:off x="0" y="0"/>
                            <a:ext cx="3390900" cy="1981200"/>
                          </a:xfrm>
                          <a:prstGeom prst="rect">
                            <a:avLst/>
                          </a:prstGeom>
                        </pic:spPr>
                      </pic:pic>
                    </a:graphicData>
                  </a:graphic>
                </wp:inline>
              </w:drawing>
            </w:r>
          </w:p>
        </w:tc>
        <w:tc>
          <w:tcPr>
            <w:tcW w:w="3535" w:type="dxa"/>
          </w:tcPr>
          <w:p w14:paraId="64E0136E" w14:textId="58BAECB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73EF18E4" w14:textId="0EDFEB3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Kit de Instalación Eólica con Conexión a la Red.</w:t>
            </w:r>
            <w:r w:rsidRPr="3C234025">
              <w:rPr>
                <w:rFonts w:asciiTheme="minorHAnsi" w:eastAsiaTheme="minorEastAsia" w:hAnsiTheme="minorHAnsi" w:cstheme="minorBidi"/>
                <w:sz w:val="20"/>
                <w:szCs w:val="20"/>
              </w:rPr>
              <w:t xml:space="preserve"> Permitir el aprendizaje de integración de sistemas eólicos a la red eléctrica. </w:t>
            </w:r>
          </w:p>
          <w:p w14:paraId="0C1DA1D4" w14:textId="46364E30" w:rsidR="59BD4447" w:rsidRDefault="59BD4447" w:rsidP="3C234025">
            <w:pPr>
              <w:jc w:val="both"/>
              <w:rPr>
                <w:rFonts w:asciiTheme="minorHAnsi" w:eastAsiaTheme="minorEastAsia" w:hAnsiTheme="minorHAnsi" w:cstheme="minorBidi"/>
                <w:b/>
                <w:bCs/>
                <w:sz w:val="20"/>
                <w:szCs w:val="20"/>
              </w:rPr>
            </w:pPr>
          </w:p>
          <w:p w14:paraId="12823D71" w14:textId="4A5794E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393580D0" w14:textId="57C3982B"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Kit de instalación eólica con conexión a la red eléctrica. Inversor de conexión a red (grid-tie): potencia nominal ≥ 1 kW, tensión de entrada DC 24-400 VDC (según generador), salida AC 230 VAC/50 Hz, onda senoidal pura, THD &lt; 3%. Protección anti-isla activa conforme a IEC 62116. Factor de potencia: &gt; 0.99 a potencia nominal. Medidor bidireccional de energía kWh (clase 1, IEC 62053-21). Protecciones: sobretensión AC, subtensión AC, sobretemperatura, cortocircuito. Compatible con aerogeneradores de imanes permanentes (PMSG) ≥ 500 W.</w:t>
            </w:r>
          </w:p>
        </w:tc>
      </w:tr>
      <w:tr w:rsidR="59BD4447" w14:paraId="6F30BDC4" w14:textId="77777777" w:rsidTr="6F1EDA97">
        <w:trPr>
          <w:trHeight w:val="300"/>
        </w:trPr>
        <w:tc>
          <w:tcPr>
            <w:tcW w:w="645" w:type="dxa"/>
          </w:tcPr>
          <w:p w14:paraId="386BDF8F" w14:textId="420378BC" w:rsidR="59779CE7" w:rsidRDefault="59779CE7" w:rsidP="62C29527">
            <w:r>
              <w:t>16</w:t>
            </w:r>
          </w:p>
        </w:tc>
        <w:tc>
          <w:tcPr>
            <w:tcW w:w="5570" w:type="dxa"/>
          </w:tcPr>
          <w:p w14:paraId="601AD3F6" w14:textId="606104EF" w:rsidR="59BD4447" w:rsidRDefault="59BD4447" w:rsidP="68D41FDE">
            <w:r>
              <w:rPr>
                <w:noProof/>
              </w:rPr>
              <w:drawing>
                <wp:inline distT="0" distB="0" distL="0" distR="0" wp14:anchorId="063E02A4" wp14:editId="25300426">
                  <wp:extent cx="2752725" cy="2752725"/>
                  <wp:effectExtent l="0" t="0" r="0" b="0"/>
                  <wp:docPr id="14626883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688318" name="Picture 1462688318"/>
                          <pic:cNvPicPr/>
                        </pic:nvPicPr>
                        <pic:blipFill>
                          <a:blip r:embed="rId81">
                            <a:extLst>
                              <a:ext uri="{28A0092B-C50C-407E-A947-70E740481C1C}">
                                <a14:useLocalDpi xmlns:a14="http://schemas.microsoft.com/office/drawing/2010/main"/>
                              </a:ext>
                            </a:extLst>
                          </a:blip>
                          <a:stretch>
                            <a:fillRect/>
                          </a:stretch>
                        </pic:blipFill>
                        <pic:spPr>
                          <a:xfrm>
                            <a:off x="0" y="0"/>
                            <a:ext cx="2752725" cy="2752725"/>
                          </a:xfrm>
                          <a:prstGeom prst="rect">
                            <a:avLst/>
                          </a:prstGeom>
                        </pic:spPr>
                      </pic:pic>
                    </a:graphicData>
                  </a:graphic>
                </wp:inline>
              </w:drawing>
            </w:r>
          </w:p>
        </w:tc>
        <w:tc>
          <w:tcPr>
            <w:tcW w:w="3535" w:type="dxa"/>
          </w:tcPr>
          <w:p w14:paraId="17910384" w14:textId="410B18B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1F95ECEA" w14:textId="06080C9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Kit de Instalación Híbrida.</w:t>
            </w:r>
            <w:r w:rsidRPr="3C234025">
              <w:rPr>
                <w:rFonts w:asciiTheme="minorHAnsi" w:eastAsiaTheme="minorEastAsia" w:hAnsiTheme="minorHAnsi" w:cstheme="minorBidi"/>
                <w:sz w:val="20"/>
                <w:szCs w:val="20"/>
              </w:rPr>
              <w:t xml:space="preserve"> Permitir el estudio de sistemas híbridos de generación energética. </w:t>
            </w:r>
          </w:p>
          <w:p w14:paraId="53FECD41" w14:textId="39155FED" w:rsidR="59BD4447" w:rsidRDefault="59BD4447" w:rsidP="3C234025">
            <w:pPr>
              <w:jc w:val="both"/>
              <w:rPr>
                <w:rFonts w:asciiTheme="minorHAnsi" w:eastAsiaTheme="minorEastAsia" w:hAnsiTheme="minorHAnsi" w:cstheme="minorBidi"/>
                <w:b/>
                <w:bCs/>
                <w:sz w:val="20"/>
                <w:szCs w:val="20"/>
              </w:rPr>
            </w:pPr>
          </w:p>
          <w:p w14:paraId="25CB8370" w14:textId="6CD76C8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0B892B9C" w14:textId="1C3CD69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Kit de instalación de sistema híbrido eólico-solar. Inversor-cargador híbrido: potencia nominal ≥ 1 kVA, entradas: FV (MPPT, ≤ 150 VDC, 20 A) + eólico (rectificador trifásico) + red CA, salida: 230 VAC/50 Hz. Gestión automática de prioridades de fuentes y carga de batería. Banco de baterías de referencia: 12-48 V / 50-100 Ah. Monitoreo remoto mediante RS485 o WiFi. Software de monitoreo y gestión energética incluido. Permite demostración de funcionamiento con fuentes eólica, solar y red simultáneamente.</w:t>
            </w:r>
          </w:p>
        </w:tc>
      </w:tr>
      <w:tr w:rsidR="59BD4447" w14:paraId="41951583" w14:textId="77777777" w:rsidTr="6F1EDA97">
        <w:trPr>
          <w:trHeight w:val="300"/>
        </w:trPr>
        <w:tc>
          <w:tcPr>
            <w:tcW w:w="645" w:type="dxa"/>
          </w:tcPr>
          <w:p w14:paraId="102CC9CB" w14:textId="6D091C7C" w:rsidR="59779CE7" w:rsidRDefault="59779CE7" w:rsidP="62C29527">
            <w:r>
              <w:t>17</w:t>
            </w:r>
          </w:p>
        </w:tc>
        <w:tc>
          <w:tcPr>
            <w:tcW w:w="5570" w:type="dxa"/>
          </w:tcPr>
          <w:p w14:paraId="307826C0" w14:textId="525175AF" w:rsidR="59BD4447" w:rsidRDefault="59BD4447" w:rsidP="68D41FDE">
            <w:r>
              <w:rPr>
                <w:noProof/>
              </w:rPr>
              <w:drawing>
                <wp:inline distT="0" distB="0" distL="0" distR="0" wp14:anchorId="606B6667" wp14:editId="62DBA094">
                  <wp:extent cx="2343150" cy="2752725"/>
                  <wp:effectExtent l="0" t="0" r="0" b="0"/>
                  <wp:docPr id="7182299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29911" name="Picture 718229911"/>
                          <pic:cNvPicPr/>
                        </pic:nvPicPr>
                        <pic:blipFill>
                          <a:blip r:embed="rId82">
                            <a:extLst>
                              <a:ext uri="{28A0092B-C50C-407E-A947-70E740481C1C}">
                                <a14:useLocalDpi xmlns:a14="http://schemas.microsoft.com/office/drawing/2010/main"/>
                              </a:ext>
                            </a:extLst>
                          </a:blip>
                          <a:stretch>
                            <a:fillRect/>
                          </a:stretch>
                        </pic:blipFill>
                        <pic:spPr>
                          <a:xfrm>
                            <a:off x="0" y="0"/>
                            <a:ext cx="2343150" cy="2752725"/>
                          </a:xfrm>
                          <a:prstGeom prst="rect">
                            <a:avLst/>
                          </a:prstGeom>
                        </pic:spPr>
                      </pic:pic>
                    </a:graphicData>
                  </a:graphic>
                </wp:inline>
              </w:drawing>
            </w:r>
          </w:p>
        </w:tc>
        <w:tc>
          <w:tcPr>
            <w:tcW w:w="3535" w:type="dxa"/>
          </w:tcPr>
          <w:p w14:paraId="70A67F46" w14:textId="362FAF1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6E79D9B5" w14:textId="2F836DF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Planta de Potencia de Energía Eólica.</w:t>
            </w:r>
            <w:r w:rsidRPr="3C234025">
              <w:rPr>
                <w:rFonts w:asciiTheme="minorHAnsi" w:eastAsiaTheme="minorEastAsia" w:hAnsiTheme="minorHAnsi" w:cstheme="minorBidi"/>
                <w:sz w:val="20"/>
                <w:szCs w:val="20"/>
              </w:rPr>
              <w:t xml:space="preserve"> Permitir el análisis de generación eólica en sistemas eléctricos. </w:t>
            </w:r>
          </w:p>
          <w:p w14:paraId="75F457F5" w14:textId="1A6C8A85" w:rsidR="59BD4447" w:rsidRDefault="59BD4447" w:rsidP="3C234025">
            <w:pPr>
              <w:jc w:val="both"/>
              <w:rPr>
                <w:rFonts w:asciiTheme="minorHAnsi" w:eastAsiaTheme="minorEastAsia" w:hAnsiTheme="minorHAnsi" w:cstheme="minorBidi"/>
                <w:b/>
                <w:bCs/>
                <w:sz w:val="20"/>
                <w:szCs w:val="20"/>
              </w:rPr>
            </w:pPr>
          </w:p>
          <w:p w14:paraId="19BD06BE" w14:textId="671C920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4C436579" w14:textId="37D4BA79"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Planta de potencia de energía eólica didáctica a escala de laboratorio. Generador eólico trifásico (PMSG o DFIG): potencia nominal ≥ 1 kW. Motor de accionamiento con perfil de velocidad de viento configurable (0-20 m/s equivalente). Inversor de conexión a red o carga aislada. Monitoreo de: potencia activa y reactiva, factor de potencia, tensión y corriente por fase. Interfaz gráfica de operación en pantalla. Almacenamiento de curvas de potencia vs. velocidad de viento.</w:t>
            </w:r>
          </w:p>
        </w:tc>
      </w:tr>
      <w:tr w:rsidR="59BD4447" w14:paraId="55841702" w14:textId="77777777" w:rsidTr="6F1EDA97">
        <w:trPr>
          <w:trHeight w:val="300"/>
        </w:trPr>
        <w:tc>
          <w:tcPr>
            <w:tcW w:w="645" w:type="dxa"/>
          </w:tcPr>
          <w:p w14:paraId="7760310A" w14:textId="1960FA09" w:rsidR="4624809C" w:rsidRDefault="4624809C" w:rsidP="62C29527">
            <w:r>
              <w:t>18</w:t>
            </w:r>
          </w:p>
        </w:tc>
        <w:tc>
          <w:tcPr>
            <w:tcW w:w="5570" w:type="dxa"/>
          </w:tcPr>
          <w:p w14:paraId="0444DE00" w14:textId="238E1DF7" w:rsidR="59BD4447" w:rsidRDefault="0C15D683" w:rsidP="68D41FDE">
            <w:r>
              <w:rPr>
                <w:noProof/>
              </w:rPr>
              <w:drawing>
                <wp:inline distT="0" distB="0" distL="0" distR="0" wp14:anchorId="4F9EC61D" wp14:editId="221548FD">
                  <wp:extent cx="3390900" cy="2857500"/>
                  <wp:effectExtent l="0" t="0" r="0" b="0"/>
                  <wp:docPr id="19285090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509012" name="Picture 1928509012"/>
                          <pic:cNvPicPr/>
                        </pic:nvPicPr>
                        <pic:blipFill>
                          <a:blip r:embed="rId83">
                            <a:extLst>
                              <a:ext uri="{28A0092B-C50C-407E-A947-70E740481C1C}">
                                <a14:useLocalDpi xmlns:a14="http://schemas.microsoft.com/office/drawing/2010/main"/>
                              </a:ext>
                            </a:extLst>
                          </a:blip>
                          <a:stretch>
                            <a:fillRect/>
                          </a:stretch>
                        </pic:blipFill>
                        <pic:spPr>
                          <a:xfrm>
                            <a:off x="0" y="0"/>
                            <a:ext cx="3390900" cy="2857500"/>
                          </a:xfrm>
                          <a:prstGeom prst="rect">
                            <a:avLst/>
                          </a:prstGeom>
                        </pic:spPr>
                      </pic:pic>
                    </a:graphicData>
                  </a:graphic>
                </wp:inline>
              </w:drawing>
            </w:r>
          </w:p>
        </w:tc>
        <w:tc>
          <w:tcPr>
            <w:tcW w:w="3535" w:type="dxa"/>
          </w:tcPr>
          <w:p w14:paraId="70687BE7" w14:textId="2FA40C1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6BAE4CEF" w14:textId="184E0D2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Planta de Potencia de Energía Convencional.</w:t>
            </w:r>
            <w:r w:rsidRPr="3C234025">
              <w:rPr>
                <w:rFonts w:asciiTheme="minorHAnsi" w:eastAsiaTheme="minorEastAsia" w:hAnsiTheme="minorHAnsi" w:cstheme="minorBidi"/>
                <w:sz w:val="20"/>
                <w:szCs w:val="20"/>
              </w:rPr>
              <w:t xml:space="preserve"> Permitir comparar generación renovable y convencional.</w:t>
            </w:r>
          </w:p>
          <w:p w14:paraId="639BF442" w14:textId="4329AE85" w:rsidR="59BD4447" w:rsidRDefault="59BD4447" w:rsidP="3C234025">
            <w:pPr>
              <w:jc w:val="both"/>
              <w:rPr>
                <w:rFonts w:asciiTheme="minorHAnsi" w:eastAsiaTheme="minorEastAsia" w:hAnsiTheme="minorHAnsi" w:cstheme="minorBidi"/>
                <w:sz w:val="20"/>
                <w:szCs w:val="20"/>
              </w:rPr>
            </w:pPr>
          </w:p>
          <w:p w14:paraId="42524281" w14:textId="4D89800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2B76717B" w14:textId="761F44BB"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didáctico de planta de potencia convencional (generación termoeléctrica simulada) para análisis comparativo con fuentes renovables. Generador síncrono trifásico: potencia nominal 0.5-1 kVA, tensión 3×400/230 VAC Δ/Y, 2-4 polos. Motor de accionamiento eléctrico que simula un generador de combustión interna: potencia ≈ 750 W, control de velocidad mediante regulador electrónico. Sistema de excitación y regulación de tensión integrado. Medición de potencia activa, reactiva y factor de potencia. Permite comparación de rendimiento, eficiencia y emisiones equivalentes con sistemas eólicos.</w:t>
            </w:r>
          </w:p>
        </w:tc>
      </w:tr>
      <w:tr w:rsidR="59BD4447" w14:paraId="3D6E5833" w14:textId="77777777" w:rsidTr="6F1EDA97">
        <w:trPr>
          <w:trHeight w:val="300"/>
        </w:trPr>
        <w:tc>
          <w:tcPr>
            <w:tcW w:w="645" w:type="dxa"/>
          </w:tcPr>
          <w:p w14:paraId="68B74BD4" w14:textId="17AB5268" w:rsidR="7082E121" w:rsidRDefault="7082E121"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19</w:t>
            </w:r>
          </w:p>
        </w:tc>
        <w:tc>
          <w:tcPr>
            <w:tcW w:w="5570" w:type="dxa"/>
          </w:tcPr>
          <w:p w14:paraId="6BFE8DA1" w14:textId="341C5F82" w:rsidR="59BD4447" w:rsidRDefault="35B2F7B8" w:rsidP="62C29527">
            <w:r>
              <w:rPr>
                <w:noProof/>
              </w:rPr>
              <w:drawing>
                <wp:inline distT="0" distB="0" distL="0" distR="0" wp14:anchorId="08FD3EBE" wp14:editId="74DA5A97">
                  <wp:extent cx="3390900" cy="1400175"/>
                  <wp:effectExtent l="0" t="0" r="0" b="0"/>
                  <wp:docPr id="1657307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30748" name="Picture 165730748"/>
                          <pic:cNvPicPr/>
                        </pic:nvPicPr>
                        <pic:blipFill>
                          <a:blip r:embed="rId84">
                            <a:extLst>
                              <a:ext uri="{28A0092B-C50C-407E-A947-70E740481C1C}">
                                <a14:useLocalDpi xmlns:a14="http://schemas.microsoft.com/office/drawing/2010/main"/>
                              </a:ext>
                            </a:extLst>
                          </a:blip>
                          <a:stretch>
                            <a:fillRect/>
                          </a:stretch>
                        </pic:blipFill>
                        <pic:spPr>
                          <a:xfrm>
                            <a:off x="0" y="0"/>
                            <a:ext cx="3390900" cy="1400175"/>
                          </a:xfrm>
                          <a:prstGeom prst="rect">
                            <a:avLst/>
                          </a:prstGeom>
                        </pic:spPr>
                      </pic:pic>
                    </a:graphicData>
                  </a:graphic>
                </wp:inline>
              </w:drawing>
            </w:r>
          </w:p>
        </w:tc>
        <w:tc>
          <w:tcPr>
            <w:tcW w:w="3535" w:type="dxa"/>
          </w:tcPr>
          <w:p w14:paraId="416252FA" w14:textId="28A90E3B" w:rsidR="59BD4447" w:rsidRDefault="59BD4447" w:rsidP="59BD4447">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1CC7F081" w14:textId="5868984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Software de Adquisición de Datos y Gestión de Energía SCADA.</w:t>
            </w:r>
            <w:r w:rsidRPr="3C234025">
              <w:rPr>
                <w:rFonts w:asciiTheme="minorHAnsi" w:eastAsiaTheme="minorEastAsia" w:hAnsiTheme="minorHAnsi" w:cstheme="minorBidi"/>
                <w:sz w:val="20"/>
                <w:szCs w:val="20"/>
              </w:rPr>
              <w:t xml:space="preserve"> Permitir monitoreo y control del sistema.</w:t>
            </w:r>
          </w:p>
          <w:p w14:paraId="2FBA9DF0" w14:textId="50292A0C" w:rsidR="59BD4447" w:rsidRDefault="59BD4447" w:rsidP="3C234025">
            <w:pPr>
              <w:jc w:val="both"/>
              <w:rPr>
                <w:rFonts w:asciiTheme="minorHAnsi" w:eastAsiaTheme="minorEastAsia" w:hAnsiTheme="minorHAnsi" w:cstheme="minorBidi"/>
                <w:sz w:val="20"/>
                <w:szCs w:val="20"/>
              </w:rPr>
            </w:pPr>
          </w:p>
          <w:p w14:paraId="1802915F" w14:textId="4C938DF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179B5AE3" w14:textId="6331D778" w:rsidR="59BD4447" w:rsidRDefault="632395EB"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Plataforma SCADA para supervisión en tiempo real. Software de Adquisición de Datos y Gestión de Energía SCADA para laboratorio eólico. Compatible con sistemas operativos Windows 10/11. Simulación gráfica e intuitiva del proceso en pantalla. Registro automático y simultáneo de todas las variables del proceso: tensiones (trifásicas), corrientes, </w:t>
            </w:r>
            <w:bookmarkStart w:id="5" w:name="_Int_Y8MK6RWq"/>
            <w:r w:rsidRPr="3C234025">
              <w:rPr>
                <w:rFonts w:asciiTheme="minorHAnsi" w:eastAsiaTheme="minorEastAsia" w:hAnsiTheme="minorHAnsi" w:cstheme="minorBidi"/>
                <w:sz w:val="20"/>
                <w:szCs w:val="20"/>
              </w:rPr>
              <w:t>potencias activa</w:t>
            </w:r>
            <w:bookmarkEnd w:id="5"/>
            <w:r w:rsidRPr="3C234025">
              <w:rPr>
                <w:rFonts w:asciiTheme="minorHAnsi" w:eastAsiaTheme="minorEastAsia" w:hAnsiTheme="minorHAnsi" w:cstheme="minorBidi"/>
                <w:sz w:val="20"/>
                <w:szCs w:val="20"/>
              </w:rPr>
              <w:t>/reactiva/aparente, factor de potencia, velocidad del generador y frecuencia. Visualización en tiempo real con mínimo 8 canales simultáneos. Almacenamiento de datos en formato compatible con Microsoft Excel. Control de variables del proceso desde el software (velocidad, cargas, modos). Control de acceso con contraseñas diferenciadas para profesor y alumno. Software expandible para integración con múltiples equipos en red (SCADA-NET).</w:t>
            </w:r>
          </w:p>
        </w:tc>
      </w:tr>
      <w:tr w:rsidR="59BD4447" w14:paraId="2F9A480F" w14:textId="77777777" w:rsidTr="6F1EDA97">
        <w:trPr>
          <w:trHeight w:val="300"/>
        </w:trPr>
        <w:tc>
          <w:tcPr>
            <w:tcW w:w="645" w:type="dxa"/>
          </w:tcPr>
          <w:p w14:paraId="342A1C63" w14:textId="76762876" w:rsidR="52D74303" w:rsidRDefault="52D74303" w:rsidP="62C29527">
            <w:r>
              <w:t>20</w:t>
            </w:r>
          </w:p>
        </w:tc>
        <w:tc>
          <w:tcPr>
            <w:tcW w:w="5570" w:type="dxa"/>
          </w:tcPr>
          <w:p w14:paraId="5E6DB87A" w14:textId="7338FB2F" w:rsidR="59BD4447" w:rsidRDefault="59BD4447" w:rsidP="68D41FDE">
            <w:r>
              <w:rPr>
                <w:noProof/>
              </w:rPr>
              <w:drawing>
                <wp:inline distT="0" distB="0" distL="0" distR="0" wp14:anchorId="3043A387" wp14:editId="4EE527AF">
                  <wp:extent cx="2752725" cy="1219200"/>
                  <wp:effectExtent l="0" t="0" r="0" b="0"/>
                  <wp:docPr id="889031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03123" name="Picture 88903123"/>
                          <pic:cNvPicPr/>
                        </pic:nvPicPr>
                        <pic:blipFill>
                          <a:blip r:embed="rId85">
                            <a:extLst>
                              <a:ext uri="{28A0092B-C50C-407E-A947-70E740481C1C}">
                                <a14:useLocalDpi xmlns:a14="http://schemas.microsoft.com/office/drawing/2010/main"/>
                              </a:ext>
                            </a:extLst>
                          </a:blip>
                          <a:stretch>
                            <a:fillRect/>
                          </a:stretch>
                        </pic:blipFill>
                        <pic:spPr>
                          <a:xfrm>
                            <a:off x="0" y="0"/>
                            <a:ext cx="2752725" cy="1219200"/>
                          </a:xfrm>
                          <a:prstGeom prst="rect">
                            <a:avLst/>
                          </a:prstGeom>
                        </pic:spPr>
                      </pic:pic>
                    </a:graphicData>
                  </a:graphic>
                </wp:inline>
              </w:drawing>
            </w:r>
          </w:p>
        </w:tc>
        <w:tc>
          <w:tcPr>
            <w:tcW w:w="3535" w:type="dxa"/>
          </w:tcPr>
          <w:p w14:paraId="5441655B" w14:textId="11E82A6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12E01596" w14:textId="071643A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Energía Eólica Controlado desde Computador.</w:t>
            </w:r>
            <w:r w:rsidRPr="3C234025">
              <w:rPr>
                <w:rFonts w:asciiTheme="minorHAnsi" w:eastAsiaTheme="minorEastAsia" w:hAnsiTheme="minorHAnsi" w:cstheme="minorBidi"/>
                <w:sz w:val="20"/>
                <w:szCs w:val="20"/>
              </w:rPr>
              <w:t xml:space="preserve"> Permitir el análisis de operación de sistemas eólicos mediante control digital. </w:t>
            </w:r>
          </w:p>
          <w:p w14:paraId="338E9DF5" w14:textId="4063F250" w:rsidR="59BD4447" w:rsidRDefault="59BD4447" w:rsidP="3C234025">
            <w:pPr>
              <w:jc w:val="both"/>
              <w:rPr>
                <w:rFonts w:asciiTheme="minorHAnsi" w:eastAsiaTheme="minorEastAsia" w:hAnsiTheme="minorHAnsi" w:cstheme="minorBidi"/>
                <w:b/>
                <w:bCs/>
                <w:sz w:val="20"/>
                <w:szCs w:val="20"/>
              </w:rPr>
            </w:pPr>
          </w:p>
          <w:p w14:paraId="05E71521" w14:textId="27066F6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2CA1A384" w14:textId="07ABB28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didáctico de energía eólica controlado desde computador. Motor-generador con SCADA integrado. Velocidad de adquisición de datos: mínimo 100 muestras/s por canal. Variables monitoreadas: tensión trifásica, corriente, potencia, velocidad rotacional y temperatura del generador. Control en lazo cerrado de velocidad desde la interfaz SCADA. Curvas características exportables a Excel. Manual de prácticas con mínimo 10 experimentos guiados.</w:t>
            </w:r>
          </w:p>
        </w:tc>
      </w:tr>
      <w:tr w:rsidR="59BD4447" w14:paraId="216195A2" w14:textId="77777777" w:rsidTr="6F1EDA97">
        <w:trPr>
          <w:trHeight w:val="5130"/>
        </w:trPr>
        <w:tc>
          <w:tcPr>
            <w:tcW w:w="645" w:type="dxa"/>
          </w:tcPr>
          <w:p w14:paraId="0B747FFB" w14:textId="37E5A67A" w:rsidR="7BE5063F" w:rsidRDefault="7BE5063F" w:rsidP="62C29527">
            <w:pPr>
              <w:jc w:val="center"/>
            </w:pPr>
            <w:r>
              <w:t>21</w:t>
            </w:r>
          </w:p>
        </w:tc>
        <w:tc>
          <w:tcPr>
            <w:tcW w:w="5570" w:type="dxa"/>
          </w:tcPr>
          <w:p w14:paraId="2416EB33" w14:textId="1BB750CA" w:rsidR="59BD4447" w:rsidRDefault="59BD4447" w:rsidP="68D41FDE">
            <w:pPr>
              <w:jc w:val="center"/>
            </w:pPr>
            <w:r>
              <w:rPr>
                <w:noProof/>
              </w:rPr>
              <w:drawing>
                <wp:inline distT="0" distB="0" distL="0" distR="0" wp14:anchorId="4058BF0B" wp14:editId="5013E92A">
                  <wp:extent cx="1362075" cy="2752725"/>
                  <wp:effectExtent l="0" t="0" r="0" b="0"/>
                  <wp:docPr id="6711600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160073" name="Picture 671160073"/>
                          <pic:cNvPicPr/>
                        </pic:nvPicPr>
                        <pic:blipFill>
                          <a:blip r:embed="rId86">
                            <a:extLst>
                              <a:ext uri="{28A0092B-C50C-407E-A947-70E740481C1C}">
                                <a14:useLocalDpi xmlns:a14="http://schemas.microsoft.com/office/drawing/2010/main"/>
                              </a:ext>
                            </a:extLst>
                          </a:blip>
                          <a:stretch>
                            <a:fillRect/>
                          </a:stretch>
                        </pic:blipFill>
                        <pic:spPr>
                          <a:xfrm>
                            <a:off x="0" y="0"/>
                            <a:ext cx="1362075" cy="2752725"/>
                          </a:xfrm>
                          <a:prstGeom prst="rect">
                            <a:avLst/>
                          </a:prstGeom>
                        </pic:spPr>
                      </pic:pic>
                    </a:graphicData>
                  </a:graphic>
                </wp:inline>
              </w:drawing>
            </w:r>
          </w:p>
        </w:tc>
        <w:tc>
          <w:tcPr>
            <w:tcW w:w="3535" w:type="dxa"/>
          </w:tcPr>
          <w:p w14:paraId="1B75A165" w14:textId="6613F9A8" w:rsidR="59BD4447" w:rsidRDefault="59BD4447" w:rsidP="59BD4447">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70B4183A" w14:textId="1A4DC85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Kit de Simulación de Conversión y Consumo (CA).</w:t>
            </w:r>
            <w:r w:rsidRPr="3C234025">
              <w:rPr>
                <w:rFonts w:asciiTheme="minorHAnsi" w:eastAsiaTheme="minorEastAsia" w:hAnsiTheme="minorHAnsi" w:cstheme="minorBidi"/>
                <w:sz w:val="20"/>
                <w:szCs w:val="20"/>
              </w:rPr>
              <w:t xml:space="preserve"> Permitir el análisis de conversión energética. </w:t>
            </w:r>
          </w:p>
          <w:p w14:paraId="510CA634" w14:textId="518EE304" w:rsidR="59BD4447" w:rsidRDefault="59BD4447" w:rsidP="3C234025">
            <w:pPr>
              <w:jc w:val="both"/>
              <w:rPr>
                <w:rFonts w:asciiTheme="minorHAnsi" w:eastAsiaTheme="minorEastAsia" w:hAnsiTheme="minorHAnsi" w:cstheme="minorBidi"/>
                <w:b/>
                <w:bCs/>
                <w:sz w:val="20"/>
                <w:szCs w:val="20"/>
              </w:rPr>
            </w:pPr>
          </w:p>
          <w:p w14:paraId="03A41385" w14:textId="1EA617C9"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155505F5" w14:textId="087E7FC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Kit de simulación de conversión y consumo en corriente alterna. Banco de cargas monofásicas resistivas, inductivas y capacitivas. Potencia total: ≥ 1 kVA (resistiva + reactiva). Tensión nominal: 230 VAC/50 Hz. Cargas resistivas: 0-2 kW en pasos. Cargas inductivas: 0-1 kVAR (motor de inducción de prueba). Cargas capacitivas: banco de condensadores 0-1 kVAR. Medición de: potencia activa (kW), reactiva (kVAR), aparente (kVA) y FP. Permite análisis de factor de potencia y compensación de reactivo.</w:t>
            </w:r>
          </w:p>
        </w:tc>
      </w:tr>
      <w:tr w:rsidR="59BD4447" w14:paraId="67A8B713" w14:textId="77777777" w:rsidTr="6F1EDA97">
        <w:trPr>
          <w:trHeight w:val="300"/>
        </w:trPr>
        <w:tc>
          <w:tcPr>
            <w:tcW w:w="645" w:type="dxa"/>
          </w:tcPr>
          <w:p w14:paraId="618E1B06" w14:textId="0CE3A6E6" w:rsidR="7BE5063F" w:rsidRDefault="7BE5063F" w:rsidP="62C29527">
            <w:pPr>
              <w:jc w:val="center"/>
            </w:pPr>
            <w:r>
              <w:t>22</w:t>
            </w:r>
          </w:p>
        </w:tc>
        <w:tc>
          <w:tcPr>
            <w:tcW w:w="5570" w:type="dxa"/>
          </w:tcPr>
          <w:p w14:paraId="28F94F2B" w14:textId="0DD0ADA0" w:rsidR="59BD4447" w:rsidRDefault="59BD4447" w:rsidP="68D41FDE">
            <w:pPr>
              <w:jc w:val="center"/>
            </w:pPr>
            <w:r>
              <w:rPr>
                <w:noProof/>
              </w:rPr>
              <w:drawing>
                <wp:inline distT="0" distB="0" distL="0" distR="0" wp14:anchorId="762FA4D6" wp14:editId="014E2F2C">
                  <wp:extent cx="2381250" cy="1695450"/>
                  <wp:effectExtent l="0" t="0" r="0" b="0"/>
                  <wp:docPr id="6825876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587625" name="Picture 682587625"/>
                          <pic:cNvPicPr/>
                        </pic:nvPicPr>
                        <pic:blipFill>
                          <a:blip r:embed="rId87">
                            <a:extLst>
                              <a:ext uri="{28A0092B-C50C-407E-A947-70E740481C1C}">
                                <a14:useLocalDpi xmlns:a14="http://schemas.microsoft.com/office/drawing/2010/main"/>
                              </a:ext>
                            </a:extLst>
                          </a:blip>
                          <a:stretch>
                            <a:fillRect/>
                          </a:stretch>
                        </pic:blipFill>
                        <pic:spPr>
                          <a:xfrm>
                            <a:off x="0" y="0"/>
                            <a:ext cx="2381250" cy="1695450"/>
                          </a:xfrm>
                          <a:prstGeom prst="rect">
                            <a:avLst/>
                          </a:prstGeom>
                        </pic:spPr>
                      </pic:pic>
                    </a:graphicData>
                  </a:graphic>
                </wp:inline>
              </w:drawing>
            </w:r>
          </w:p>
        </w:tc>
        <w:tc>
          <w:tcPr>
            <w:tcW w:w="3535" w:type="dxa"/>
          </w:tcPr>
          <w:p w14:paraId="53CC5909" w14:textId="65F33218" w:rsidR="59BD4447" w:rsidRDefault="59BD4447" w:rsidP="59BD4447">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41711678" w14:textId="36893F7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Kit de Inversor Híbrido con Autogestión de Energía.</w:t>
            </w:r>
            <w:r w:rsidRPr="3C234025">
              <w:rPr>
                <w:rFonts w:asciiTheme="minorHAnsi" w:eastAsiaTheme="minorEastAsia" w:hAnsiTheme="minorHAnsi" w:cstheme="minorBidi"/>
                <w:sz w:val="20"/>
                <w:szCs w:val="20"/>
              </w:rPr>
              <w:t xml:space="preserve"> Permitir el estudio de sistemas híbridos conectados a red.</w:t>
            </w:r>
          </w:p>
          <w:p w14:paraId="5452F804" w14:textId="7ECAEC8C" w:rsidR="59BD4447" w:rsidRDefault="59BD4447" w:rsidP="3C234025">
            <w:pPr>
              <w:jc w:val="both"/>
              <w:rPr>
                <w:rFonts w:asciiTheme="minorHAnsi" w:eastAsiaTheme="minorEastAsia" w:hAnsiTheme="minorHAnsi" w:cstheme="minorBidi"/>
                <w:sz w:val="20"/>
                <w:szCs w:val="20"/>
              </w:rPr>
            </w:pPr>
          </w:p>
          <w:p w14:paraId="17CD6CFF" w14:textId="22082F4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4955BD8F" w14:textId="567015D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Kit de inversor híbrido con autogestión de energía. Inversor híbrido trifásico o monofásico: potencia nominal ≥ 3 kVA, eficiencia máxima ≥ 93%. Entradas: eólico (PMSG trifásico, rectificación activa), FV (MPPT, 0-150 VDC) y red CA. Prioridad de fuentes configurable por software. Gestión de batería integrada: 12-48 VDC, corriente de carga ≥ 50 A. Comunicación: RS485/Modbus RTU y WiFi opcional. Display LCD con visualización de estado y flujos de energía. Software de monitoreo remoto con registro histórico.</w:t>
            </w:r>
          </w:p>
        </w:tc>
      </w:tr>
      <w:tr w:rsidR="59BD4447" w14:paraId="1E6767D1" w14:textId="77777777" w:rsidTr="6F1EDA97">
        <w:trPr>
          <w:trHeight w:val="300"/>
        </w:trPr>
        <w:tc>
          <w:tcPr>
            <w:tcW w:w="645" w:type="dxa"/>
          </w:tcPr>
          <w:p w14:paraId="61A88FB7" w14:textId="0AEDE55F" w:rsidR="52F6DC56" w:rsidRDefault="52F6DC56" w:rsidP="62C29527">
            <w:r>
              <w:t>23</w:t>
            </w:r>
          </w:p>
        </w:tc>
        <w:tc>
          <w:tcPr>
            <w:tcW w:w="5570" w:type="dxa"/>
          </w:tcPr>
          <w:p w14:paraId="2FD62B5F" w14:textId="02E530F3" w:rsidR="59BD4447" w:rsidRDefault="59BD4447" w:rsidP="68D41FDE">
            <w:r>
              <w:rPr>
                <w:noProof/>
              </w:rPr>
              <w:drawing>
                <wp:inline distT="0" distB="0" distL="0" distR="0" wp14:anchorId="6D5A70D8" wp14:editId="2110CDD2">
                  <wp:extent cx="2752725" cy="1428750"/>
                  <wp:effectExtent l="0" t="0" r="0" b="0"/>
                  <wp:docPr id="3769800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80019" name="Picture 376980019"/>
                          <pic:cNvPicPr/>
                        </pic:nvPicPr>
                        <pic:blipFill>
                          <a:blip r:embed="rId88">
                            <a:extLst>
                              <a:ext uri="{28A0092B-C50C-407E-A947-70E740481C1C}">
                                <a14:useLocalDpi xmlns:a14="http://schemas.microsoft.com/office/drawing/2010/main"/>
                              </a:ext>
                            </a:extLst>
                          </a:blip>
                          <a:stretch>
                            <a:fillRect/>
                          </a:stretch>
                        </pic:blipFill>
                        <pic:spPr>
                          <a:xfrm>
                            <a:off x="0" y="0"/>
                            <a:ext cx="2752725" cy="1428750"/>
                          </a:xfrm>
                          <a:prstGeom prst="rect">
                            <a:avLst/>
                          </a:prstGeom>
                        </pic:spPr>
                      </pic:pic>
                    </a:graphicData>
                  </a:graphic>
                </wp:inline>
              </w:drawing>
            </w:r>
          </w:p>
        </w:tc>
        <w:tc>
          <w:tcPr>
            <w:tcW w:w="3535" w:type="dxa"/>
          </w:tcPr>
          <w:p w14:paraId="55812D65" w14:textId="6AB6FA8F" w:rsidR="59BD4447" w:rsidRDefault="59BD4447" w:rsidP="59BD4447">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00ABE5D0" w14:textId="436A54A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Energía Eólica.</w:t>
            </w:r>
            <w:r w:rsidRPr="3C234025">
              <w:rPr>
                <w:rFonts w:asciiTheme="minorHAnsi" w:eastAsiaTheme="minorEastAsia" w:hAnsiTheme="minorHAnsi" w:cstheme="minorBidi"/>
                <w:sz w:val="20"/>
                <w:szCs w:val="20"/>
              </w:rPr>
              <w:t xml:space="preserve"> Permitir prácticas básicas de generación eólica. </w:t>
            </w:r>
          </w:p>
          <w:p w14:paraId="6F4DAA9A" w14:textId="5620B5C5" w:rsidR="59BD4447" w:rsidRDefault="59BD4447" w:rsidP="3C234025">
            <w:pPr>
              <w:jc w:val="both"/>
              <w:rPr>
                <w:rFonts w:asciiTheme="minorHAnsi" w:eastAsiaTheme="minorEastAsia" w:hAnsiTheme="minorHAnsi" w:cstheme="minorBidi"/>
                <w:b/>
                <w:bCs/>
                <w:sz w:val="20"/>
                <w:szCs w:val="20"/>
              </w:rPr>
            </w:pPr>
          </w:p>
          <w:p w14:paraId="5583876F" w14:textId="4EDAFE2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639798B3" w14:textId="11E0B43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Equipo básico de energía eólica didáctico. Generador de imanes permanentes trifásico: potencia nominal 300-500 W. Motor de accionamiento con control de velocidad mediante potenciómetro. Rectificador de onda completa trifásico para carga de batería. Medición de: tensión trifásica generada (VAC), tensión rectificada (VDC), corriente de carga (A) y potencia (W). Display analógico o digital de variables. Cargas de prueba resistivas incluidas (12/24 VDC). Manual de prácticas básicas incluido.</w:t>
            </w:r>
          </w:p>
        </w:tc>
      </w:tr>
      <w:tr w:rsidR="59BD4447" w14:paraId="34FBC3BD" w14:textId="77777777" w:rsidTr="6F1EDA97">
        <w:trPr>
          <w:trHeight w:val="300"/>
        </w:trPr>
        <w:tc>
          <w:tcPr>
            <w:tcW w:w="645" w:type="dxa"/>
          </w:tcPr>
          <w:p w14:paraId="7BC97AD1" w14:textId="0CDD985F" w:rsidR="1A0D9958" w:rsidRDefault="1A0D9958" w:rsidP="62C29527">
            <w:r>
              <w:t>24</w:t>
            </w:r>
          </w:p>
        </w:tc>
        <w:tc>
          <w:tcPr>
            <w:tcW w:w="5570" w:type="dxa"/>
          </w:tcPr>
          <w:p w14:paraId="6D487016" w14:textId="1F6DC9F0" w:rsidR="59BD4447" w:rsidRDefault="59BD4447" w:rsidP="68D41FDE">
            <w:r>
              <w:rPr>
                <w:noProof/>
              </w:rPr>
              <w:drawing>
                <wp:inline distT="0" distB="0" distL="0" distR="0" wp14:anchorId="6445E8A7" wp14:editId="102F6656">
                  <wp:extent cx="2752725" cy="2562225"/>
                  <wp:effectExtent l="0" t="0" r="0" b="0"/>
                  <wp:docPr id="2910866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086695" name="Picture 291086695"/>
                          <pic:cNvPicPr/>
                        </pic:nvPicPr>
                        <pic:blipFill>
                          <a:blip r:embed="rId89">
                            <a:extLst>
                              <a:ext uri="{28A0092B-C50C-407E-A947-70E740481C1C}">
                                <a14:useLocalDpi xmlns:a14="http://schemas.microsoft.com/office/drawing/2010/main"/>
                              </a:ext>
                            </a:extLst>
                          </a:blip>
                          <a:stretch>
                            <a:fillRect/>
                          </a:stretch>
                        </pic:blipFill>
                        <pic:spPr>
                          <a:xfrm>
                            <a:off x="0" y="0"/>
                            <a:ext cx="2752725" cy="2562225"/>
                          </a:xfrm>
                          <a:prstGeom prst="rect">
                            <a:avLst/>
                          </a:prstGeom>
                        </pic:spPr>
                      </pic:pic>
                    </a:graphicData>
                  </a:graphic>
                </wp:inline>
              </w:drawing>
            </w:r>
          </w:p>
        </w:tc>
        <w:tc>
          <w:tcPr>
            <w:tcW w:w="3535" w:type="dxa"/>
          </w:tcPr>
          <w:p w14:paraId="31A4125A" w14:textId="7BF32125" w:rsidR="59BD4447" w:rsidRDefault="59BD4447" w:rsidP="59BD4447">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p>
          <w:p w14:paraId="0A6D4B43" w14:textId="3694F37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Medidor de Fuerza y Par en Aerogenerador.</w:t>
            </w:r>
            <w:r w:rsidRPr="3C234025">
              <w:rPr>
                <w:rFonts w:asciiTheme="minorHAnsi" w:eastAsiaTheme="minorEastAsia" w:hAnsiTheme="minorHAnsi" w:cstheme="minorBidi"/>
                <w:sz w:val="20"/>
                <w:szCs w:val="20"/>
              </w:rPr>
              <w:t xml:space="preserve"> Permitir analizar esfuerzos mecánicos en turbinas eólicas.</w:t>
            </w:r>
          </w:p>
          <w:p w14:paraId="0C24FD8C" w14:textId="1950C393" w:rsidR="59BD4447" w:rsidRDefault="59BD4447" w:rsidP="3C234025">
            <w:pPr>
              <w:jc w:val="both"/>
              <w:rPr>
                <w:rFonts w:asciiTheme="minorHAnsi" w:eastAsiaTheme="minorEastAsia" w:hAnsiTheme="minorHAnsi" w:cstheme="minorBidi"/>
                <w:sz w:val="20"/>
                <w:szCs w:val="20"/>
              </w:rPr>
            </w:pPr>
          </w:p>
          <w:p w14:paraId="0C8E6D25" w14:textId="6F24606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10BE3082" w14:textId="136F06E9"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Medidor de fuerza y par para análisis mecánico de aerogeneradores. Transductor de torque rotativo: rango 0-50 Nm, precisión ±0.5% fondo de escala. Celda de carga para medición de fuerza axial: rango 0-500 N, precisión ±0.3% FS. Frecuencia de muestreo: ≥ 1000 Hz. Salida analógica: 0-10 V o 4-20 mA. Interfaz USB para conexión directa a PC. Software de registro y visualización de par vs. velocidad incluido. Temperatura de operación: -10°C a 60°C.</w:t>
            </w:r>
          </w:p>
        </w:tc>
      </w:tr>
      <w:tr w:rsidR="59BD4447" w14:paraId="0B5424EB" w14:textId="77777777" w:rsidTr="6F1EDA97">
        <w:trPr>
          <w:trHeight w:val="300"/>
        </w:trPr>
        <w:tc>
          <w:tcPr>
            <w:tcW w:w="645" w:type="dxa"/>
          </w:tcPr>
          <w:p w14:paraId="193513CE" w14:textId="7FE5CA80" w:rsidR="0F36195B" w:rsidRDefault="0F36195B"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25</w:t>
            </w:r>
          </w:p>
        </w:tc>
        <w:tc>
          <w:tcPr>
            <w:tcW w:w="5570" w:type="dxa"/>
          </w:tcPr>
          <w:p w14:paraId="6EE094EE" w14:textId="72FEFB1E" w:rsidR="59BD4447" w:rsidRDefault="12B4AD88" w:rsidP="62C29527">
            <w:r>
              <w:rPr>
                <w:noProof/>
              </w:rPr>
              <w:drawing>
                <wp:inline distT="0" distB="0" distL="0" distR="0" wp14:anchorId="2FE89555" wp14:editId="34451B1C">
                  <wp:extent cx="3390900" cy="2209800"/>
                  <wp:effectExtent l="0" t="0" r="0" b="0"/>
                  <wp:docPr id="7729796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79666" name="Picture 772979666"/>
                          <pic:cNvPicPr/>
                        </pic:nvPicPr>
                        <pic:blipFill>
                          <a:blip r:embed="rId90">
                            <a:extLst>
                              <a:ext uri="{28A0092B-C50C-407E-A947-70E740481C1C}">
                                <a14:useLocalDpi xmlns:a14="http://schemas.microsoft.com/office/drawing/2010/main"/>
                              </a:ext>
                            </a:extLst>
                          </a:blip>
                          <a:stretch>
                            <a:fillRect/>
                          </a:stretch>
                        </pic:blipFill>
                        <pic:spPr>
                          <a:xfrm>
                            <a:off x="0" y="0"/>
                            <a:ext cx="3390900" cy="2209800"/>
                          </a:xfrm>
                          <a:prstGeom prst="rect">
                            <a:avLst/>
                          </a:prstGeom>
                        </pic:spPr>
                      </pic:pic>
                    </a:graphicData>
                  </a:graphic>
                </wp:inline>
              </w:drawing>
            </w:r>
            <w:r>
              <w:rPr>
                <w:noProof/>
              </w:rPr>
              <w:drawing>
                <wp:inline distT="0" distB="0" distL="0" distR="0" wp14:anchorId="7CFAFFE3" wp14:editId="6E5E8F90">
                  <wp:extent cx="3390900" cy="2219325"/>
                  <wp:effectExtent l="0" t="0" r="0" b="0"/>
                  <wp:docPr id="10719416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41610" name="Picture 1071941610"/>
                          <pic:cNvPicPr/>
                        </pic:nvPicPr>
                        <pic:blipFill>
                          <a:blip r:embed="rId91">
                            <a:extLst>
                              <a:ext uri="{28A0092B-C50C-407E-A947-70E740481C1C}">
                                <a14:useLocalDpi xmlns:a14="http://schemas.microsoft.com/office/drawing/2010/main"/>
                              </a:ext>
                            </a:extLst>
                          </a:blip>
                          <a:stretch>
                            <a:fillRect/>
                          </a:stretch>
                        </pic:blipFill>
                        <pic:spPr>
                          <a:xfrm>
                            <a:off x="0" y="0"/>
                            <a:ext cx="3390900" cy="2219325"/>
                          </a:xfrm>
                          <a:prstGeom prst="rect">
                            <a:avLst/>
                          </a:prstGeom>
                        </pic:spPr>
                      </pic:pic>
                    </a:graphicData>
                  </a:graphic>
                </wp:inline>
              </w:drawing>
            </w:r>
          </w:p>
        </w:tc>
        <w:tc>
          <w:tcPr>
            <w:tcW w:w="3535" w:type="dxa"/>
          </w:tcPr>
          <w:p w14:paraId="2CE3242A" w14:textId="3FCDC0E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5F1DC623" w14:textId="1B6D3FDB"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Básico de Energía Eólica Controlado desde Computador.</w:t>
            </w:r>
            <w:r w:rsidRPr="3C234025">
              <w:rPr>
                <w:rFonts w:asciiTheme="minorHAnsi" w:eastAsiaTheme="minorEastAsia" w:hAnsiTheme="minorHAnsi" w:cstheme="minorBidi"/>
                <w:sz w:val="20"/>
                <w:szCs w:val="20"/>
              </w:rPr>
              <w:t xml:space="preserve"> Permitir el aprendizaje de control digital de sistemas eólicos. </w:t>
            </w:r>
          </w:p>
          <w:p w14:paraId="6260918C" w14:textId="1FC2408A" w:rsidR="59BD4447" w:rsidRDefault="59BD4447" w:rsidP="3C234025">
            <w:pPr>
              <w:jc w:val="both"/>
              <w:rPr>
                <w:rFonts w:asciiTheme="minorHAnsi" w:eastAsiaTheme="minorEastAsia" w:hAnsiTheme="minorHAnsi" w:cstheme="minorBidi"/>
                <w:b/>
                <w:bCs/>
                <w:sz w:val="20"/>
                <w:szCs w:val="20"/>
              </w:rPr>
            </w:pPr>
          </w:p>
          <w:p w14:paraId="59840AB9" w14:textId="3886880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635A49A8" w14:textId="47ED264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Equipo básico de energía eólica controlado desde computador. Motor-generador PMSG: potencia ≈ 300-500 W, tensión nominal ≤ 50 VAC. Software SCADA básico con visualización de tensión, corriente y potencia en tiempo real. Tarjeta de adquisición de datos USB integrada (≥ 4 canales analógicos, 12 bits). Compatible con Windows 10/11. Mínimo 5 prácticas guiadas documentadas en manual incluido.</w:t>
            </w:r>
          </w:p>
        </w:tc>
      </w:tr>
      <w:tr w:rsidR="59BD4447" w14:paraId="0C5192A4" w14:textId="77777777" w:rsidTr="6F1EDA97">
        <w:trPr>
          <w:trHeight w:val="300"/>
        </w:trPr>
        <w:tc>
          <w:tcPr>
            <w:tcW w:w="645" w:type="dxa"/>
          </w:tcPr>
          <w:p w14:paraId="5B6BEC78" w14:textId="537E0758" w:rsidR="4140330C" w:rsidRDefault="4140330C" w:rsidP="62C29527">
            <w:pPr>
              <w:jc w:val="center"/>
            </w:pPr>
            <w:r>
              <w:t>26</w:t>
            </w:r>
          </w:p>
        </w:tc>
        <w:tc>
          <w:tcPr>
            <w:tcW w:w="5570" w:type="dxa"/>
          </w:tcPr>
          <w:p w14:paraId="2A78F215" w14:textId="2308B911" w:rsidR="59BD4447" w:rsidRDefault="59BD4447" w:rsidP="68D41FDE">
            <w:pPr>
              <w:jc w:val="center"/>
            </w:pPr>
            <w:r>
              <w:rPr>
                <w:noProof/>
              </w:rPr>
              <w:drawing>
                <wp:inline distT="0" distB="0" distL="0" distR="0" wp14:anchorId="5EEBF79D" wp14:editId="03B1934D">
                  <wp:extent cx="1409700" cy="1866900"/>
                  <wp:effectExtent l="0" t="0" r="0" b="0"/>
                  <wp:docPr id="3225983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98371" name="Picture 322598371"/>
                          <pic:cNvPicPr/>
                        </pic:nvPicPr>
                        <pic:blipFill>
                          <a:blip r:embed="rId92">
                            <a:extLst>
                              <a:ext uri="{28A0092B-C50C-407E-A947-70E740481C1C}">
                                <a14:useLocalDpi xmlns:a14="http://schemas.microsoft.com/office/drawing/2010/main"/>
                              </a:ext>
                            </a:extLst>
                          </a:blip>
                          <a:stretch>
                            <a:fillRect/>
                          </a:stretch>
                        </pic:blipFill>
                        <pic:spPr>
                          <a:xfrm>
                            <a:off x="0" y="0"/>
                            <a:ext cx="1409700" cy="1866900"/>
                          </a:xfrm>
                          <a:prstGeom prst="rect">
                            <a:avLst/>
                          </a:prstGeom>
                        </pic:spPr>
                      </pic:pic>
                    </a:graphicData>
                  </a:graphic>
                </wp:inline>
              </w:drawing>
            </w:r>
          </w:p>
        </w:tc>
        <w:tc>
          <w:tcPr>
            <w:tcW w:w="3535" w:type="dxa"/>
          </w:tcPr>
          <w:p w14:paraId="3F663CC8" w14:textId="26EF623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256ECB5E" w14:textId="5A4C582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Banco de trabajo.</w:t>
            </w:r>
            <w:r w:rsidRPr="3C234025">
              <w:rPr>
                <w:rFonts w:asciiTheme="minorHAnsi" w:eastAsiaTheme="minorEastAsia" w:hAnsiTheme="minorHAnsi" w:cstheme="minorBidi"/>
                <w:sz w:val="20"/>
                <w:szCs w:val="20"/>
              </w:rPr>
              <w:t xml:space="preserve"> Proporcionar estaciones físicas para prácticas. </w:t>
            </w:r>
          </w:p>
          <w:p w14:paraId="4A755C60" w14:textId="483A2F56" w:rsidR="59BD4447" w:rsidRDefault="59BD4447" w:rsidP="3C234025">
            <w:pPr>
              <w:jc w:val="both"/>
              <w:rPr>
                <w:rFonts w:asciiTheme="minorHAnsi" w:eastAsiaTheme="minorEastAsia" w:hAnsiTheme="minorHAnsi" w:cstheme="minorBidi"/>
                <w:b/>
                <w:bCs/>
                <w:sz w:val="20"/>
                <w:szCs w:val="20"/>
              </w:rPr>
            </w:pPr>
          </w:p>
          <w:p w14:paraId="4AFC6B2A" w14:textId="270306D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25D3156F" w14:textId="7866A77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Mesa metálica de laboratorio eólico con superficie de melamina resistente. Dimensiones mínimas: 1500 × 750 × 850 mm. Capacidad de carga: ≥ 200 kg. Estructura en acero con recubrimiento epóxico en polvo. 4 patas con niveladores regulables. Tomas eléctricas integradas: ≥ 2 trifásicas 400V + 4 monofásicas 230V con protección diferencial.</w:t>
            </w:r>
          </w:p>
        </w:tc>
      </w:tr>
      <w:tr w:rsidR="59BD4447" w14:paraId="67AEA44C" w14:textId="77777777" w:rsidTr="6F1EDA97">
        <w:trPr>
          <w:trHeight w:val="300"/>
        </w:trPr>
        <w:tc>
          <w:tcPr>
            <w:tcW w:w="645" w:type="dxa"/>
          </w:tcPr>
          <w:p w14:paraId="6D50CDEB" w14:textId="61F211E6" w:rsidR="42343E05" w:rsidRDefault="42343E05" w:rsidP="62C29527">
            <w:r>
              <w:t>27</w:t>
            </w:r>
          </w:p>
        </w:tc>
        <w:tc>
          <w:tcPr>
            <w:tcW w:w="5570" w:type="dxa"/>
          </w:tcPr>
          <w:p w14:paraId="151BC2F0" w14:textId="17BCC99D" w:rsidR="59BD4447" w:rsidRDefault="59BD4447" w:rsidP="68D41FDE">
            <w:r>
              <w:rPr>
                <w:noProof/>
              </w:rPr>
              <w:drawing>
                <wp:inline distT="0" distB="0" distL="0" distR="0" wp14:anchorId="1441DFB3" wp14:editId="4D5CF02E">
                  <wp:extent cx="2495550" cy="2752725"/>
                  <wp:effectExtent l="0" t="0" r="0" b="0"/>
                  <wp:docPr id="18634265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426523" name="Picture 1863426523"/>
                          <pic:cNvPicPr/>
                        </pic:nvPicPr>
                        <pic:blipFill>
                          <a:blip r:embed="rId93">
                            <a:extLst>
                              <a:ext uri="{28A0092B-C50C-407E-A947-70E740481C1C}">
                                <a14:useLocalDpi xmlns:a14="http://schemas.microsoft.com/office/drawing/2010/main"/>
                              </a:ext>
                            </a:extLst>
                          </a:blip>
                          <a:stretch>
                            <a:fillRect/>
                          </a:stretch>
                        </pic:blipFill>
                        <pic:spPr>
                          <a:xfrm>
                            <a:off x="0" y="0"/>
                            <a:ext cx="2495550" cy="2752725"/>
                          </a:xfrm>
                          <a:prstGeom prst="rect">
                            <a:avLst/>
                          </a:prstGeom>
                        </pic:spPr>
                      </pic:pic>
                    </a:graphicData>
                  </a:graphic>
                </wp:inline>
              </w:drawing>
            </w:r>
          </w:p>
        </w:tc>
        <w:tc>
          <w:tcPr>
            <w:tcW w:w="3535" w:type="dxa"/>
          </w:tcPr>
          <w:p w14:paraId="494DFEA6" w14:textId="12BB969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40B34F9D" w14:textId="2DA4689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Armario.</w:t>
            </w:r>
            <w:r w:rsidRPr="3C234025">
              <w:rPr>
                <w:rFonts w:asciiTheme="minorHAnsi" w:eastAsiaTheme="minorEastAsia" w:hAnsiTheme="minorHAnsi" w:cstheme="minorBidi"/>
                <w:sz w:val="20"/>
                <w:szCs w:val="20"/>
              </w:rPr>
              <w:t xml:space="preserve"> Permitir almacenamiento seguro de equipos del laboratorio. </w:t>
            </w:r>
          </w:p>
          <w:p w14:paraId="5CDA7184" w14:textId="5E724385" w:rsidR="59BD4447" w:rsidRDefault="59BD4447" w:rsidP="3C234025">
            <w:pPr>
              <w:jc w:val="both"/>
              <w:rPr>
                <w:rFonts w:asciiTheme="minorHAnsi" w:eastAsiaTheme="minorEastAsia" w:hAnsiTheme="minorHAnsi" w:cstheme="minorBidi"/>
                <w:b/>
                <w:bCs/>
                <w:sz w:val="20"/>
                <w:szCs w:val="20"/>
              </w:rPr>
            </w:pPr>
          </w:p>
          <w:p w14:paraId="44795573" w14:textId="12AD1D1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1DC2F738" w14:textId="195075EC"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Armario metálico de acero con cierre bajo llave para laboratorio eólico. Dimensiones mínimas: 1800 × 900 × 450 mm (alto × ancho × fondo). ≥ 3 estantes regulables, capacidad ≥ 50 kg por estante. Acabado en pintura epóxica resistente. Estructura de chapa de acero ≥ 1.2 mm, puertas con bisagras y cerradura con llave.</w:t>
            </w:r>
          </w:p>
        </w:tc>
      </w:tr>
      <w:tr w:rsidR="59BD4447" w14:paraId="56A53226" w14:textId="77777777" w:rsidTr="6F1EDA97">
        <w:trPr>
          <w:trHeight w:val="300"/>
        </w:trPr>
        <w:tc>
          <w:tcPr>
            <w:tcW w:w="645" w:type="dxa"/>
          </w:tcPr>
          <w:p w14:paraId="4A76479A" w14:textId="7D4D0D15" w:rsidR="72ED0D28" w:rsidRDefault="72ED0D28" w:rsidP="62C29527">
            <w:r>
              <w:t>28</w:t>
            </w:r>
          </w:p>
        </w:tc>
        <w:tc>
          <w:tcPr>
            <w:tcW w:w="5570" w:type="dxa"/>
          </w:tcPr>
          <w:p w14:paraId="50D9B877" w14:textId="593C6A14" w:rsidR="59BD4447" w:rsidRDefault="59BD4447" w:rsidP="68D41FDE">
            <w:r>
              <w:rPr>
                <w:noProof/>
              </w:rPr>
              <w:drawing>
                <wp:inline distT="0" distB="0" distL="0" distR="0" wp14:anchorId="710C7616" wp14:editId="5B48A75E">
                  <wp:extent cx="1848108" cy="952633"/>
                  <wp:effectExtent l="0" t="0" r="0" b="0"/>
                  <wp:docPr id="19129871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987196" name="Picture 1912987196"/>
                          <pic:cNvPicPr/>
                        </pic:nvPicPr>
                        <pic:blipFill>
                          <a:blip r:embed="rId94">
                            <a:extLst>
                              <a:ext uri="{28A0092B-C50C-407E-A947-70E740481C1C}">
                                <a14:useLocalDpi xmlns:a14="http://schemas.microsoft.com/office/drawing/2010/main"/>
                              </a:ext>
                            </a:extLst>
                          </a:blip>
                          <a:stretch>
                            <a:fillRect/>
                          </a:stretch>
                        </pic:blipFill>
                        <pic:spPr>
                          <a:xfrm>
                            <a:off x="0" y="0"/>
                            <a:ext cx="1848108" cy="952633"/>
                          </a:xfrm>
                          <a:prstGeom prst="rect">
                            <a:avLst/>
                          </a:prstGeom>
                        </pic:spPr>
                      </pic:pic>
                    </a:graphicData>
                  </a:graphic>
                </wp:inline>
              </w:drawing>
            </w:r>
            <w:r>
              <w:rPr>
                <w:noProof/>
              </w:rPr>
              <w:drawing>
                <wp:inline distT="0" distB="0" distL="0" distR="0" wp14:anchorId="261902F6" wp14:editId="5EF16086">
                  <wp:extent cx="2410161" cy="933580"/>
                  <wp:effectExtent l="0" t="0" r="0" b="0"/>
                  <wp:docPr id="15079496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949637" name="Picture 1507949637"/>
                          <pic:cNvPicPr/>
                        </pic:nvPicPr>
                        <pic:blipFill>
                          <a:blip r:embed="rId95">
                            <a:extLst>
                              <a:ext uri="{28A0092B-C50C-407E-A947-70E740481C1C}">
                                <a14:useLocalDpi xmlns:a14="http://schemas.microsoft.com/office/drawing/2010/main"/>
                              </a:ext>
                            </a:extLst>
                          </a:blip>
                          <a:stretch>
                            <a:fillRect/>
                          </a:stretch>
                        </pic:blipFill>
                        <pic:spPr>
                          <a:xfrm>
                            <a:off x="0" y="0"/>
                            <a:ext cx="2410161" cy="933580"/>
                          </a:xfrm>
                          <a:prstGeom prst="rect">
                            <a:avLst/>
                          </a:prstGeom>
                        </pic:spPr>
                      </pic:pic>
                    </a:graphicData>
                  </a:graphic>
                </wp:inline>
              </w:drawing>
            </w:r>
          </w:p>
        </w:tc>
        <w:tc>
          <w:tcPr>
            <w:tcW w:w="3535" w:type="dxa"/>
          </w:tcPr>
          <w:p w14:paraId="7A50A103" w14:textId="28ECF052" w:rsidR="59BD4447" w:rsidRDefault="59BD4447" w:rsidP="59BD4447">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51A3D9E1" w14:textId="2CDBAA1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Equipos de medición.</w:t>
            </w:r>
            <w:r w:rsidRPr="3C234025">
              <w:rPr>
                <w:rFonts w:asciiTheme="minorHAnsi" w:eastAsiaTheme="minorEastAsia" w:hAnsiTheme="minorHAnsi" w:cstheme="minorBidi"/>
                <w:sz w:val="20"/>
                <w:szCs w:val="20"/>
              </w:rPr>
              <w:t xml:space="preserve"> Permitir diagnóstico y medición de variables eléctricas. </w:t>
            </w:r>
          </w:p>
          <w:p w14:paraId="1C7D24C4" w14:textId="500D50AE" w:rsidR="59BD4447" w:rsidRDefault="59BD4447" w:rsidP="3C234025">
            <w:pPr>
              <w:jc w:val="both"/>
              <w:rPr>
                <w:rFonts w:asciiTheme="minorHAnsi" w:eastAsiaTheme="minorEastAsia" w:hAnsiTheme="minorHAnsi" w:cstheme="minorBidi"/>
                <w:b/>
                <w:bCs/>
                <w:sz w:val="20"/>
                <w:szCs w:val="20"/>
              </w:rPr>
            </w:pPr>
          </w:p>
          <w:p w14:paraId="16FF9E9F" w14:textId="378891E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734BDFA2" w14:textId="0C70F7C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Equipos de medición para laboratorio eólico. Multímetro TRMS: rango VDC 60 mV-1000 V, VAC hasta 750 V, corriente DC/AC hasta 10 A, resistencia hasta 220 MΩ, frecuencia hasta 10 MHz. Pinza amperimétrica AC/DC: corriente AC hasta 600 A, tensión DC/AC hasta 600 V. Osciloscopio digital: ancho de banda ≥ 100 MHz, 2 canales, velocidad de muestreo ≥ 1 GSa/s, pantalla LCD, medición de Vpp, Vrms, frecuencia y duty cycle. Cámara termográfica infrarroja: rango -20°C a 400°C, resolución ≥ 120×90 píxeles, sensibilidad térmica (NETD) ≤ 150 mK, pantalla LCD integrada.</w:t>
            </w:r>
          </w:p>
        </w:tc>
      </w:tr>
      <w:tr w:rsidR="59BD4447" w14:paraId="616721C9" w14:textId="77777777" w:rsidTr="6F1EDA97">
        <w:trPr>
          <w:trHeight w:val="300"/>
        </w:trPr>
        <w:tc>
          <w:tcPr>
            <w:tcW w:w="645" w:type="dxa"/>
          </w:tcPr>
          <w:p w14:paraId="2AD142F2" w14:textId="17C80426" w:rsidR="4C97DC8E" w:rsidRDefault="4C97DC8E" w:rsidP="62C29527">
            <w:r>
              <w:t>29</w:t>
            </w:r>
          </w:p>
        </w:tc>
        <w:tc>
          <w:tcPr>
            <w:tcW w:w="5570" w:type="dxa"/>
          </w:tcPr>
          <w:p w14:paraId="1A9676D8" w14:textId="2F1304E3" w:rsidR="59BD4447" w:rsidRDefault="0A53F9E0" w:rsidP="59BD4447">
            <w:r>
              <w:rPr>
                <w:noProof/>
              </w:rPr>
              <w:drawing>
                <wp:inline distT="0" distB="0" distL="0" distR="0" wp14:anchorId="4B76913B" wp14:editId="01FAADE3">
                  <wp:extent cx="3390900" cy="2609850"/>
                  <wp:effectExtent l="0" t="0" r="0" b="0"/>
                  <wp:docPr id="1740514616" name="drawing" descr="Laptop PNG Transparent Images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14616" name="Picture 1740514616"/>
                          <pic:cNvPicPr/>
                        </pic:nvPicPr>
                        <pic:blipFill>
                          <a:blip r:embed="rId37">
                            <a:extLst>
                              <a:ext uri="{28A0092B-C50C-407E-A947-70E740481C1C}">
                                <a14:useLocalDpi xmlns:a14="http://schemas.microsoft.com/office/drawing/2010/main"/>
                              </a:ext>
                            </a:extLst>
                          </a:blip>
                          <a:stretch>
                            <a:fillRect/>
                          </a:stretch>
                        </pic:blipFill>
                        <pic:spPr>
                          <a:xfrm>
                            <a:off x="0" y="0"/>
                            <a:ext cx="3390900" cy="2609850"/>
                          </a:xfrm>
                          <a:prstGeom prst="rect">
                            <a:avLst/>
                          </a:prstGeom>
                        </pic:spPr>
                      </pic:pic>
                    </a:graphicData>
                  </a:graphic>
                </wp:inline>
              </w:drawing>
            </w:r>
          </w:p>
        </w:tc>
        <w:tc>
          <w:tcPr>
            <w:tcW w:w="3535" w:type="dxa"/>
          </w:tcPr>
          <w:p w14:paraId="1FD3DF66" w14:textId="39C6B9F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r w:rsidR="59BD4447">
              <w:br/>
            </w:r>
            <w:r w:rsidRPr="3C234025">
              <w:rPr>
                <w:rFonts w:asciiTheme="minorHAnsi" w:eastAsiaTheme="minorEastAsia" w:hAnsiTheme="minorHAnsi" w:cstheme="minorBidi"/>
                <w:b/>
                <w:bCs/>
                <w:sz w:val="20"/>
                <w:szCs w:val="20"/>
              </w:rPr>
              <w:t>Computadores portátiles.</w:t>
            </w:r>
            <w:r w:rsidRPr="3C234025">
              <w:rPr>
                <w:rFonts w:asciiTheme="minorHAnsi" w:eastAsiaTheme="minorEastAsia" w:hAnsiTheme="minorHAnsi" w:cstheme="minorBidi"/>
                <w:sz w:val="20"/>
                <w:szCs w:val="20"/>
              </w:rPr>
              <w:t xml:space="preserve"> Permitir control y monitoreo de sistemas didácticos. </w:t>
            </w:r>
            <w:r w:rsidR="59BD4447">
              <w:br/>
            </w:r>
            <w:r w:rsidR="59BD4447">
              <w:br/>
            </w: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r w:rsidR="59BD4447">
              <w:br/>
            </w:r>
            <w:r w:rsidRPr="3C234025">
              <w:rPr>
                <w:rFonts w:asciiTheme="minorHAnsi" w:eastAsiaTheme="minorEastAsia" w:hAnsiTheme="minorHAnsi" w:cstheme="minorBidi"/>
                <w:sz w:val="20"/>
                <w:szCs w:val="20"/>
              </w:rPr>
              <w:t>Computadores portátiles para control y monitoreo del laboratorio eólico. Procesador equivalente Intel Core i5 de 11a generación o superior (≥ 2.4 GHz). Memoria RAM: ≥ 8 GB DDR4. Almacenamiento SSD: ≥ 256 GB. Pantalla: ≥ 14 pulgadas, resolución Full HD (1920×1080). Sistema operativo: Windows 10/11 Pro. Puertos: USB 3.0 ≥ 3 unidades, USB-C/Thunderbolt, HDMI. Tarjeta de red WiFi 802.11ac y Ethernet Gigabit. Compatible con software SCADA y LabVIEW. Batería: autonomía ≥ 6 horas.</w:t>
            </w:r>
          </w:p>
        </w:tc>
      </w:tr>
    </w:tbl>
    <w:p w14:paraId="4D0D7EA7" w14:textId="7651A65E" w:rsidR="59BD4447" w:rsidRDefault="59BD4447" w:rsidP="59BD4447">
      <w:pPr>
        <w:spacing w:line="259" w:lineRule="auto"/>
        <w:jc w:val="both"/>
        <w:rPr>
          <w:rFonts w:asciiTheme="minorHAnsi" w:eastAsiaTheme="minorEastAsia" w:hAnsiTheme="minorHAnsi" w:cstheme="minorBidi"/>
          <w:b/>
          <w:bCs/>
          <w:sz w:val="20"/>
          <w:szCs w:val="20"/>
        </w:rPr>
      </w:pPr>
    </w:p>
    <w:p w14:paraId="02DC0DF9" w14:textId="0CBE81AB" w:rsidR="60AFF2BB" w:rsidRDefault="509A6436" w:rsidP="59BD4447">
      <w:pPr>
        <w:jc w:val="both"/>
        <w:rPr>
          <w:rFonts w:asciiTheme="minorHAnsi" w:eastAsiaTheme="minorEastAsia" w:hAnsiTheme="minorHAnsi" w:cstheme="minorBidi"/>
          <w:sz w:val="20"/>
          <w:szCs w:val="20"/>
        </w:rPr>
      </w:pPr>
      <w:r w:rsidRPr="62C29527">
        <w:rPr>
          <w:rFonts w:asciiTheme="minorHAnsi" w:eastAsiaTheme="minorEastAsia" w:hAnsiTheme="minorHAnsi" w:cstheme="minorBidi"/>
          <w:b/>
          <w:bCs/>
          <w:sz w:val="20"/>
          <w:szCs w:val="20"/>
        </w:rPr>
        <w:t xml:space="preserve">Nota: </w:t>
      </w:r>
      <w:r w:rsidRPr="62C29527">
        <w:rPr>
          <w:rFonts w:asciiTheme="minorHAnsi" w:eastAsiaTheme="minorEastAsia" w:hAnsiTheme="minorHAnsi" w:cstheme="minorBidi"/>
          <w:sz w:val="20"/>
          <w:szCs w:val="20"/>
        </w:rPr>
        <w:t>Las imágenes de la tabla son de referencia.</w:t>
      </w:r>
    </w:p>
    <w:p w14:paraId="6F8F2217" w14:textId="3CA8D703" w:rsidR="4FD9DD9D" w:rsidRDefault="4FD9DD9D" w:rsidP="4FD9DD9D">
      <w:pPr>
        <w:rPr>
          <w:rFonts w:asciiTheme="minorHAnsi" w:eastAsiaTheme="minorEastAsia" w:hAnsiTheme="minorHAnsi" w:cstheme="minorBidi"/>
          <w:sz w:val="20"/>
          <w:szCs w:val="20"/>
        </w:rPr>
      </w:pPr>
    </w:p>
    <w:p w14:paraId="2C48C0D5" w14:textId="1E3CF5D8" w:rsidR="5DC5EDA9" w:rsidRDefault="69CF715A" w:rsidP="4FD9DD9D">
      <w:pPr>
        <w:jc w:val="both"/>
        <w:rPr>
          <w:rFonts w:asciiTheme="minorHAnsi" w:eastAsiaTheme="minorEastAsia" w:hAnsiTheme="minorHAnsi" w:cstheme="minorBidi"/>
          <w:b/>
          <w:bCs/>
          <w:sz w:val="20"/>
          <w:szCs w:val="20"/>
        </w:rPr>
      </w:pPr>
      <w:r w:rsidRPr="62C29527">
        <w:rPr>
          <w:rFonts w:asciiTheme="minorHAnsi" w:eastAsiaTheme="minorEastAsia" w:hAnsiTheme="minorHAnsi" w:cstheme="minorBidi"/>
          <w:b/>
          <w:bCs/>
          <w:sz w:val="20"/>
          <w:szCs w:val="20"/>
          <w:lang w:val="es-CO"/>
        </w:rPr>
        <w:t xml:space="preserve">Laboratorio </w:t>
      </w:r>
      <w:r w:rsidR="404CB25C" w:rsidRPr="62C29527">
        <w:rPr>
          <w:rFonts w:asciiTheme="minorHAnsi" w:eastAsiaTheme="minorEastAsia" w:hAnsiTheme="minorHAnsi" w:cstheme="minorBidi"/>
          <w:b/>
          <w:bCs/>
          <w:sz w:val="20"/>
          <w:szCs w:val="20"/>
          <w:lang w:val="es-CO"/>
        </w:rPr>
        <w:t>PCH</w:t>
      </w:r>
      <w:r w:rsidRPr="62C29527">
        <w:rPr>
          <w:rFonts w:asciiTheme="minorHAnsi" w:eastAsiaTheme="minorEastAsia" w:hAnsiTheme="minorHAnsi" w:cstheme="minorBidi"/>
          <w:b/>
          <w:bCs/>
          <w:sz w:val="20"/>
          <w:szCs w:val="20"/>
          <w:lang w:val="es-CO"/>
        </w:rPr>
        <w:t>:</w:t>
      </w:r>
    </w:p>
    <w:p w14:paraId="4AA3F06A" w14:textId="2AEBA267" w:rsidR="4FD9DD9D" w:rsidRDefault="4FD9DD9D" w:rsidP="4FD9DD9D">
      <w:pPr>
        <w:jc w:val="both"/>
        <w:rPr>
          <w:rFonts w:asciiTheme="minorHAnsi" w:eastAsiaTheme="minorEastAsia" w:hAnsiTheme="minorHAnsi" w:cstheme="minorBidi"/>
          <w:sz w:val="20"/>
          <w:szCs w:val="20"/>
        </w:rPr>
      </w:pPr>
    </w:p>
    <w:p w14:paraId="44740078" w14:textId="313BED95" w:rsidR="5DC5EDA9" w:rsidRDefault="0B2ED61C" w:rsidP="3255A9B4">
      <w:pPr>
        <w:jc w:val="both"/>
        <w:rPr>
          <w:rFonts w:asciiTheme="minorHAnsi" w:eastAsiaTheme="minorEastAsia" w:hAnsiTheme="minorHAnsi" w:cstheme="minorBidi"/>
          <w:sz w:val="20"/>
          <w:szCs w:val="20"/>
          <w:lang w:val="es-CO"/>
        </w:rPr>
      </w:pPr>
      <w:r w:rsidRPr="3255A9B4">
        <w:rPr>
          <w:rFonts w:asciiTheme="minorHAnsi" w:eastAsiaTheme="minorEastAsia" w:hAnsiTheme="minorHAnsi" w:cstheme="minorBidi"/>
          <w:sz w:val="20"/>
          <w:szCs w:val="20"/>
          <w:lang w:val="es-CO"/>
        </w:rPr>
        <w:t>Se propone un laboratorio de PCH con los siguientes equipos y características:</w:t>
      </w:r>
    </w:p>
    <w:p w14:paraId="46F38E20" w14:textId="672B256F" w:rsidR="4FD9DD9D" w:rsidRDefault="4FD9DD9D" w:rsidP="4FD9DD9D">
      <w:pPr>
        <w:rPr>
          <w:rFonts w:asciiTheme="minorHAnsi" w:eastAsiaTheme="minorEastAsia" w:hAnsiTheme="minorHAnsi" w:cstheme="minorBidi"/>
          <w:sz w:val="20"/>
          <w:szCs w:val="20"/>
          <w:lang w:val="es-CO"/>
        </w:rPr>
      </w:pPr>
    </w:p>
    <w:p w14:paraId="5FEB2C43" w14:textId="1D9F843A" w:rsidR="5DC5EDA9" w:rsidRDefault="69CF715A" w:rsidP="3C234025">
      <w:pPr>
        <w:jc w:val="center"/>
        <w:rPr>
          <w:rFonts w:asciiTheme="minorHAnsi" w:eastAsiaTheme="minorEastAsia" w:hAnsiTheme="minorHAnsi" w:cstheme="minorBidi"/>
          <w:sz w:val="20"/>
          <w:szCs w:val="20"/>
          <w:lang w:val="es-CO"/>
        </w:rPr>
      </w:pPr>
      <w:r w:rsidRPr="3C234025">
        <w:rPr>
          <w:rFonts w:asciiTheme="minorHAnsi" w:eastAsiaTheme="minorEastAsia" w:hAnsiTheme="minorHAnsi" w:cstheme="minorBidi"/>
          <w:i/>
          <w:iCs/>
          <w:sz w:val="20"/>
          <w:szCs w:val="20"/>
          <w:lang w:val="es-CO"/>
        </w:rPr>
        <w:t xml:space="preserve">Tabla </w:t>
      </w:r>
      <w:r w:rsidRPr="3C234025">
        <w:rPr>
          <w:rFonts w:asciiTheme="minorHAnsi" w:eastAsiaTheme="minorEastAsia" w:hAnsiTheme="minorHAnsi" w:cstheme="minorBidi"/>
          <w:i/>
          <w:iCs/>
          <w:sz w:val="20"/>
          <w:szCs w:val="20"/>
          <w:lang w:val="es-CO"/>
        </w:rPr>
        <w:fldChar w:fldCharType="begin"/>
      </w:r>
      <w:r w:rsidRPr="3C234025">
        <w:rPr>
          <w:rFonts w:asciiTheme="minorHAnsi" w:eastAsiaTheme="minorEastAsia" w:hAnsiTheme="minorHAnsi" w:cstheme="minorBidi"/>
          <w:i/>
          <w:iCs/>
          <w:sz w:val="20"/>
          <w:szCs w:val="20"/>
          <w:lang w:val="es-CO"/>
        </w:rPr>
        <w:instrText xml:space="preserve"> SEQ Tabla \* ARABIC </w:instrText>
      </w:r>
      <w:r w:rsidRPr="3C234025">
        <w:rPr>
          <w:rFonts w:asciiTheme="minorHAnsi" w:eastAsiaTheme="minorEastAsia" w:hAnsiTheme="minorHAnsi" w:cstheme="minorBidi"/>
          <w:i/>
          <w:iCs/>
          <w:sz w:val="20"/>
          <w:szCs w:val="20"/>
          <w:lang w:val="es-CO"/>
        </w:rPr>
        <w:fldChar w:fldCharType="separate"/>
      </w:r>
      <w:r w:rsidR="6470E24F" w:rsidRPr="3C234025">
        <w:rPr>
          <w:rFonts w:asciiTheme="minorHAnsi" w:eastAsiaTheme="minorEastAsia" w:hAnsiTheme="minorHAnsi" w:cstheme="minorBidi"/>
          <w:i/>
          <w:iCs/>
          <w:sz w:val="20"/>
          <w:szCs w:val="20"/>
          <w:lang w:val="es-CO"/>
        </w:rPr>
        <w:t>4</w:t>
      </w:r>
      <w:r w:rsidRPr="3C234025">
        <w:rPr>
          <w:rFonts w:asciiTheme="minorHAnsi" w:eastAsiaTheme="minorEastAsia" w:hAnsiTheme="minorHAnsi" w:cstheme="minorBidi"/>
          <w:i/>
          <w:iCs/>
          <w:sz w:val="20"/>
          <w:szCs w:val="20"/>
          <w:lang w:val="es-CO"/>
        </w:rPr>
        <w:fldChar w:fldCharType="end"/>
      </w:r>
      <w:r w:rsidRPr="3C234025">
        <w:rPr>
          <w:rFonts w:asciiTheme="minorHAnsi" w:eastAsiaTheme="minorEastAsia" w:hAnsiTheme="minorHAnsi" w:cstheme="minorBidi"/>
          <w:i/>
          <w:iCs/>
          <w:sz w:val="20"/>
          <w:szCs w:val="20"/>
          <w:lang w:val="es-CO"/>
        </w:rPr>
        <w:t>.</w:t>
      </w:r>
      <w:r w:rsidRPr="3C234025">
        <w:rPr>
          <w:rFonts w:asciiTheme="minorHAnsi" w:eastAsiaTheme="minorEastAsia" w:hAnsiTheme="minorHAnsi" w:cstheme="minorBidi"/>
          <w:sz w:val="20"/>
          <w:szCs w:val="20"/>
          <w:lang w:val="es-CO"/>
        </w:rPr>
        <w:t xml:space="preserve"> Laboratorio PCH</w:t>
      </w:r>
    </w:p>
    <w:tbl>
      <w:tblPr>
        <w:tblStyle w:val="Tablaconcuadrcula"/>
        <w:tblW w:w="9750" w:type="dxa"/>
        <w:tblLook w:val="06A0" w:firstRow="1" w:lastRow="0" w:firstColumn="1" w:lastColumn="0" w:noHBand="1" w:noVBand="1"/>
      </w:tblPr>
      <w:tblGrid>
        <w:gridCol w:w="765"/>
        <w:gridCol w:w="5735"/>
        <w:gridCol w:w="3250"/>
      </w:tblGrid>
      <w:tr w:rsidR="59BD4447" w14:paraId="59BB8FB2" w14:textId="77777777" w:rsidTr="3C234025">
        <w:trPr>
          <w:trHeight w:val="300"/>
        </w:trPr>
        <w:tc>
          <w:tcPr>
            <w:tcW w:w="765" w:type="dxa"/>
            <w:shd w:val="clear" w:color="auto" w:fill="002060"/>
          </w:tcPr>
          <w:p w14:paraId="104B62A3" w14:textId="5BC3D42A" w:rsidR="72123CA2" w:rsidRDefault="003B2F85" w:rsidP="62C29527">
            <w:pPr>
              <w:jc w:val="center"/>
              <w:rPr>
                <w:rFonts w:asciiTheme="minorHAnsi" w:eastAsiaTheme="minorEastAsia" w:hAnsiTheme="minorHAnsi" w:cstheme="minorBidi"/>
                <w:b/>
                <w:bCs/>
                <w:color w:val="FFFFFF" w:themeColor="background1"/>
                <w:sz w:val="20"/>
                <w:szCs w:val="20"/>
              </w:rPr>
            </w:pPr>
            <w:r w:rsidRPr="3255A9B4">
              <w:rPr>
                <w:rFonts w:asciiTheme="minorHAnsi" w:eastAsiaTheme="minorEastAsia" w:hAnsiTheme="minorHAnsi" w:cstheme="minorBidi"/>
                <w:b/>
                <w:bCs/>
                <w:color w:val="FFFFFF" w:themeColor="background1"/>
                <w:sz w:val="20"/>
                <w:szCs w:val="20"/>
              </w:rPr>
              <w:t>Ítem</w:t>
            </w:r>
          </w:p>
        </w:tc>
        <w:tc>
          <w:tcPr>
            <w:tcW w:w="8985" w:type="dxa"/>
            <w:gridSpan w:val="2"/>
            <w:shd w:val="clear" w:color="auto" w:fill="002060"/>
          </w:tcPr>
          <w:p w14:paraId="53307739" w14:textId="78A67D18" w:rsidR="2DC60FD4" w:rsidRDefault="0E5B8D3A" w:rsidP="59BD4447">
            <w:pPr>
              <w:jc w:val="center"/>
              <w:rPr>
                <w:rFonts w:asciiTheme="minorHAnsi" w:eastAsiaTheme="minorEastAsia" w:hAnsiTheme="minorHAnsi" w:cstheme="minorBidi"/>
                <w:b/>
                <w:bCs/>
                <w:color w:val="FFFFFF" w:themeColor="background1"/>
                <w:sz w:val="20"/>
                <w:szCs w:val="20"/>
              </w:rPr>
            </w:pPr>
            <w:r w:rsidRPr="62C29527">
              <w:rPr>
                <w:rFonts w:asciiTheme="minorHAnsi" w:eastAsiaTheme="minorEastAsia" w:hAnsiTheme="minorHAnsi" w:cstheme="minorBidi"/>
                <w:b/>
                <w:bCs/>
                <w:color w:val="FFFFFF" w:themeColor="background1"/>
                <w:sz w:val="20"/>
                <w:szCs w:val="20"/>
              </w:rPr>
              <w:t xml:space="preserve">Laboratorio </w:t>
            </w:r>
            <w:r w:rsidR="5FAAC278" w:rsidRPr="62C29527">
              <w:rPr>
                <w:rFonts w:asciiTheme="minorHAnsi" w:eastAsiaTheme="minorEastAsia" w:hAnsiTheme="minorHAnsi" w:cstheme="minorBidi"/>
                <w:b/>
                <w:bCs/>
                <w:color w:val="FFFFFF" w:themeColor="background1"/>
                <w:sz w:val="20"/>
                <w:szCs w:val="20"/>
              </w:rPr>
              <w:t>PCH</w:t>
            </w:r>
          </w:p>
        </w:tc>
      </w:tr>
      <w:tr w:rsidR="59BD4447" w14:paraId="4023B343" w14:textId="77777777" w:rsidTr="3C234025">
        <w:trPr>
          <w:trHeight w:val="300"/>
        </w:trPr>
        <w:tc>
          <w:tcPr>
            <w:tcW w:w="765" w:type="dxa"/>
          </w:tcPr>
          <w:p w14:paraId="71F52CF3" w14:textId="04CCA837" w:rsidR="54DDE0C9" w:rsidRDefault="54DDE0C9" w:rsidP="62C29527">
            <w:r>
              <w:t>1</w:t>
            </w:r>
          </w:p>
        </w:tc>
        <w:tc>
          <w:tcPr>
            <w:tcW w:w="5735" w:type="dxa"/>
          </w:tcPr>
          <w:p w14:paraId="1F80556A" w14:textId="56516242" w:rsidR="2DC60FD4" w:rsidRDefault="2DC60FD4" w:rsidP="68D41FDE">
            <w:r>
              <w:rPr>
                <w:noProof/>
              </w:rPr>
              <w:drawing>
                <wp:inline distT="0" distB="0" distL="0" distR="0" wp14:anchorId="1F45AA33" wp14:editId="40A91A31">
                  <wp:extent cx="2952750" cy="1438275"/>
                  <wp:effectExtent l="0" t="0" r="0" b="0"/>
                  <wp:docPr id="5569401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40160" name="Picture 556940160"/>
                          <pic:cNvPicPr/>
                        </pic:nvPicPr>
                        <pic:blipFill>
                          <a:blip r:embed="rId96">
                            <a:extLst>
                              <a:ext uri="{28A0092B-C50C-407E-A947-70E740481C1C}">
                                <a14:useLocalDpi xmlns:a14="http://schemas.microsoft.com/office/drawing/2010/main"/>
                              </a:ext>
                            </a:extLst>
                          </a:blip>
                          <a:stretch>
                            <a:fillRect/>
                          </a:stretch>
                        </pic:blipFill>
                        <pic:spPr>
                          <a:xfrm>
                            <a:off x="0" y="0"/>
                            <a:ext cx="2952750" cy="1438275"/>
                          </a:xfrm>
                          <a:prstGeom prst="rect">
                            <a:avLst/>
                          </a:prstGeom>
                        </pic:spPr>
                      </pic:pic>
                    </a:graphicData>
                  </a:graphic>
                </wp:inline>
              </w:drawing>
            </w:r>
          </w:p>
          <w:p w14:paraId="486EB34D" w14:textId="08DFAD0C" w:rsidR="2DC60FD4" w:rsidRDefault="2DC60FD4" w:rsidP="59BD4447"/>
        </w:tc>
        <w:tc>
          <w:tcPr>
            <w:tcW w:w="3250" w:type="dxa"/>
          </w:tcPr>
          <w:p w14:paraId="47C8BD3B" w14:textId="1ED90307" w:rsidR="59BD4447" w:rsidRDefault="59BD4447" w:rsidP="68D41FDE">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02FA8663" w14:textId="0726EE5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Canales de Fluidos Controlados desde Computador (PC).</w:t>
            </w:r>
            <w:r w:rsidRPr="3C234025">
              <w:rPr>
                <w:rFonts w:asciiTheme="minorHAnsi" w:eastAsiaTheme="minorEastAsia" w:hAnsiTheme="minorHAnsi" w:cstheme="minorBidi"/>
                <w:sz w:val="20"/>
                <w:szCs w:val="20"/>
              </w:rPr>
              <w:t xml:space="preserve"> </w:t>
            </w:r>
          </w:p>
          <w:p w14:paraId="495EE8D9" w14:textId="4904A7AC"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la realización de ensayos hidrodinámicos y el análisis del comportamiento de fluidos en canales abiertos, facilitando el estudio de fenómenos hidráulicos utilizados en ingeniería hidráulica y generación hidroeléctrica. </w:t>
            </w:r>
          </w:p>
          <w:p w14:paraId="5B0ECEAB" w14:textId="091F934F" w:rsidR="59BD4447" w:rsidRDefault="59BD4447" w:rsidP="3C234025">
            <w:pPr>
              <w:jc w:val="both"/>
              <w:rPr>
                <w:rFonts w:asciiTheme="minorHAnsi" w:eastAsiaTheme="minorEastAsia" w:hAnsiTheme="minorHAnsi" w:cstheme="minorBidi"/>
                <w:b/>
                <w:bCs/>
                <w:sz w:val="20"/>
                <w:szCs w:val="20"/>
              </w:rPr>
            </w:pPr>
          </w:p>
          <w:p w14:paraId="392D3D10" w14:textId="70B9667B"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76CC5027" w14:textId="0B2EEAAB"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Canal hidráulico de fluidos controlado desde computador (tipo CFC-UNIT o equivalente). Sección transversal rectangular en PMMA transparente: ≈ 300 mm (ancho) × 150 mm (profundidad). Longitud útil de canal: ≥ 2.5 m. Material del fondo: acero inoxidable AISI 304 con base de aluminio anodizado. Caudal máximo del sistema: ≈ 10 L/s (0.01 m³/s). Bomba de recirculación centrífuga: 250-500 W, caudal máximo ≥ 12 L/s. Sensor electromagnético de caudal (precisión ±0.5% FS). Sensor ultrasónico de nivel (resolución ≤ 0.1 mm). Control desde PC con software SCADA; registro de perfil de velocidades y número de Froude. Permite estudiar: flujo laminar/turbulento (número de Reynolds ≥ 10000), resalto hidráulico, flujo sobre vertederos triangulares y rectangulares.</w:t>
            </w:r>
          </w:p>
        </w:tc>
      </w:tr>
      <w:tr w:rsidR="59BD4447" w14:paraId="6F5E62EE" w14:textId="77777777" w:rsidTr="3C234025">
        <w:trPr>
          <w:trHeight w:val="300"/>
        </w:trPr>
        <w:tc>
          <w:tcPr>
            <w:tcW w:w="765" w:type="dxa"/>
          </w:tcPr>
          <w:p w14:paraId="5CE9950E" w14:textId="177228C6" w:rsidR="75C2D7DA" w:rsidRDefault="75C2D7DA"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2</w:t>
            </w:r>
          </w:p>
        </w:tc>
        <w:tc>
          <w:tcPr>
            <w:tcW w:w="5735" w:type="dxa"/>
          </w:tcPr>
          <w:p w14:paraId="749EC8A6" w14:textId="07476144" w:rsidR="59BD4447" w:rsidRDefault="114C18C2" w:rsidP="5F54C238">
            <w:r>
              <w:rPr>
                <w:noProof/>
              </w:rPr>
              <w:drawing>
                <wp:inline distT="0" distB="0" distL="0" distR="0" wp14:anchorId="60D55AC0" wp14:editId="04EDF959">
                  <wp:extent cx="3495675" cy="1952639"/>
                  <wp:effectExtent l="0" t="0" r="0" b="0"/>
                  <wp:docPr id="10761325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132576" name="Picture 1076132576"/>
                          <pic:cNvPicPr/>
                        </pic:nvPicPr>
                        <pic:blipFill>
                          <a:blip r:embed="rId97">
                            <a:extLst>
                              <a:ext uri="{28A0092B-C50C-407E-A947-70E740481C1C}">
                                <a14:useLocalDpi xmlns:a14="http://schemas.microsoft.com/office/drawing/2010/main"/>
                              </a:ext>
                            </a:extLst>
                          </a:blip>
                          <a:srcRect t="15983"/>
                          <a:stretch>
                            <a:fillRect/>
                          </a:stretch>
                        </pic:blipFill>
                        <pic:spPr>
                          <a:xfrm>
                            <a:off x="0" y="0"/>
                            <a:ext cx="3495675" cy="1952639"/>
                          </a:xfrm>
                          <a:prstGeom prst="rect">
                            <a:avLst/>
                          </a:prstGeom>
                        </pic:spPr>
                      </pic:pic>
                    </a:graphicData>
                  </a:graphic>
                </wp:inline>
              </w:drawing>
            </w:r>
          </w:p>
        </w:tc>
        <w:tc>
          <w:tcPr>
            <w:tcW w:w="3250" w:type="dxa"/>
          </w:tcPr>
          <w:p w14:paraId="3BE32B34" w14:textId="282B23C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4E95C82B" w14:textId="2FCFBE2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Generador de Olas Controlado desde Computador.</w:t>
            </w:r>
            <w:r w:rsidRPr="3C234025">
              <w:rPr>
                <w:rFonts w:asciiTheme="minorHAnsi" w:eastAsiaTheme="minorEastAsia" w:hAnsiTheme="minorHAnsi" w:cstheme="minorBidi"/>
                <w:sz w:val="20"/>
                <w:szCs w:val="20"/>
              </w:rPr>
              <w:t xml:space="preserve"> Permitir la generación controlada de ondas hidráulicas para el análisis de fenómenos de propagación de ondas en canales. </w:t>
            </w:r>
          </w:p>
          <w:p w14:paraId="2DFA5DD7" w14:textId="337DEAA0" w:rsidR="59BD4447" w:rsidRDefault="59BD4447" w:rsidP="3C234025">
            <w:pPr>
              <w:jc w:val="both"/>
              <w:rPr>
                <w:rFonts w:asciiTheme="minorHAnsi" w:eastAsiaTheme="minorEastAsia" w:hAnsiTheme="minorHAnsi" w:cstheme="minorBidi"/>
                <w:b/>
                <w:bCs/>
                <w:sz w:val="20"/>
                <w:szCs w:val="20"/>
              </w:rPr>
            </w:pPr>
          </w:p>
          <w:p w14:paraId="7DF7FC11" w14:textId="732DFE6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4C1EE26C" w14:textId="5D18808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Generador de olas controlado desde computador para canal hidráulico. Placa de desplazamiento vertical accionada por motor eléctrico con variador de frecuencia. Motor: potencia 0.25-0.5 kW. Rango de frecuencia de generación de olas: 0.1-2 Hz. Amplitud máxima de ola: ≥ 50 mm (pico a pico). Control de fase y tren de ondas configurable desde software. Sensor de nivel de ultrasonidos para medición del perfil de ola. Software de control desde PC con representación gráfica del perfil de olas en tiempo real. Compatible con canal hidráulico de sección ≥ 300 mm.</w:t>
            </w:r>
          </w:p>
        </w:tc>
      </w:tr>
      <w:tr w:rsidR="59BD4447" w14:paraId="492818CC" w14:textId="77777777" w:rsidTr="3C234025">
        <w:trPr>
          <w:trHeight w:val="300"/>
        </w:trPr>
        <w:tc>
          <w:tcPr>
            <w:tcW w:w="765" w:type="dxa"/>
          </w:tcPr>
          <w:p w14:paraId="08A12FA6" w14:textId="7B1DD4CB" w:rsidR="75C2D7DA" w:rsidRDefault="75C2D7DA"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3</w:t>
            </w:r>
          </w:p>
        </w:tc>
        <w:tc>
          <w:tcPr>
            <w:tcW w:w="5735" w:type="dxa"/>
          </w:tcPr>
          <w:p w14:paraId="596541D3" w14:textId="0DFD6692" w:rsidR="59BD4447" w:rsidRDefault="0FBAE614" w:rsidP="5F54C238">
            <w:r>
              <w:rPr>
                <w:noProof/>
              </w:rPr>
              <w:drawing>
                <wp:inline distT="0" distB="0" distL="0" distR="0" wp14:anchorId="4F8B609A" wp14:editId="75C5318B">
                  <wp:extent cx="2724180" cy="2333625"/>
                  <wp:effectExtent l="0" t="0" r="0" b="0"/>
                  <wp:docPr id="6693100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10053" name="Picture 669310053"/>
                          <pic:cNvPicPr/>
                        </pic:nvPicPr>
                        <pic:blipFill>
                          <a:blip r:embed="rId98">
                            <a:extLst>
                              <a:ext uri="{28A0092B-C50C-407E-A947-70E740481C1C}">
                                <a14:useLocalDpi xmlns:a14="http://schemas.microsoft.com/office/drawing/2010/main"/>
                              </a:ext>
                            </a:extLst>
                          </a:blip>
                          <a:srcRect r="22070"/>
                          <a:stretch>
                            <a:fillRect/>
                          </a:stretch>
                        </pic:blipFill>
                        <pic:spPr>
                          <a:xfrm>
                            <a:off x="0" y="0"/>
                            <a:ext cx="2724180" cy="2333625"/>
                          </a:xfrm>
                          <a:prstGeom prst="rect">
                            <a:avLst/>
                          </a:prstGeom>
                        </pic:spPr>
                      </pic:pic>
                    </a:graphicData>
                  </a:graphic>
                </wp:inline>
              </w:drawing>
            </w:r>
          </w:p>
        </w:tc>
        <w:tc>
          <w:tcPr>
            <w:tcW w:w="3250" w:type="dxa"/>
          </w:tcPr>
          <w:p w14:paraId="41CED951" w14:textId="789D72F6" w:rsidR="59BD4447" w:rsidRDefault="59BD4447" w:rsidP="68D41FDE">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7B7045D1" w14:textId="75AD407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Aplicación de Centrales Hidroeléctricas con Turbina Pelton, Controlada desde PC.</w:t>
            </w:r>
            <w:r w:rsidRPr="3C234025">
              <w:rPr>
                <w:rFonts w:asciiTheme="minorHAnsi" w:eastAsiaTheme="minorEastAsia" w:hAnsiTheme="minorHAnsi" w:cstheme="minorBidi"/>
                <w:sz w:val="20"/>
                <w:szCs w:val="20"/>
              </w:rPr>
              <w:t xml:space="preserve"> </w:t>
            </w:r>
          </w:p>
          <w:p w14:paraId="44F6CA4B" w14:textId="6649C36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estudio de centrales hidroeléctricas de alta caída utilizando turbinas Pelton. </w:t>
            </w:r>
          </w:p>
          <w:p w14:paraId="79B7079E" w14:textId="75A9ACD2" w:rsidR="59BD4447" w:rsidRDefault="59BD4447" w:rsidP="3C234025">
            <w:pPr>
              <w:jc w:val="both"/>
              <w:rPr>
                <w:rFonts w:asciiTheme="minorHAnsi" w:eastAsiaTheme="minorEastAsia" w:hAnsiTheme="minorHAnsi" w:cstheme="minorBidi"/>
                <w:b/>
                <w:bCs/>
                <w:sz w:val="20"/>
                <w:szCs w:val="20"/>
              </w:rPr>
            </w:pPr>
          </w:p>
          <w:p w14:paraId="7ED35D4F" w14:textId="6D463FBB"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6E9C5F2F" w14:textId="37470FA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Planta de potencia hidroeléctrica con turbina Pelton controlada desde computador (tipo HPPP o TPC-PLANT). Turbina Pelton a escala de laboratorio: rodete con 16 álabes, carcasa transparente de PMMA. Bomba de recirculación controlada por PC: potencia ≥ 750 W, simula caída hidráulica equivalente de hasta 80 m. Presión de operación en entrada de turbina: 0.5-4 bar. Caudal de operación: 0.05-0.15 L/s. Freno electromagnético para simulación de carga eléctrica. Sensores: presión entrada/salida (0-6 bar, ±0.25% FS), caudal (rango 0.01-0.2 L/s), velocidad rotacional (sensor óptico, 0-3000 rpm). Generador síncrono acoplado para medición de potencia eléctrica generada. Control desde PC con software SCADA.</w:t>
            </w:r>
          </w:p>
        </w:tc>
      </w:tr>
      <w:tr w:rsidR="59BD4447" w14:paraId="406985CB" w14:textId="77777777" w:rsidTr="3C234025">
        <w:trPr>
          <w:trHeight w:val="300"/>
        </w:trPr>
        <w:tc>
          <w:tcPr>
            <w:tcW w:w="765" w:type="dxa"/>
          </w:tcPr>
          <w:p w14:paraId="5A7F6248" w14:textId="05B86AFD" w:rsidR="67027FAB" w:rsidRDefault="67027FAB"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4</w:t>
            </w:r>
          </w:p>
        </w:tc>
        <w:tc>
          <w:tcPr>
            <w:tcW w:w="5735" w:type="dxa"/>
          </w:tcPr>
          <w:p w14:paraId="529E10DE" w14:textId="4EB8A74E" w:rsidR="59BD4447" w:rsidRDefault="76303776" w:rsidP="5F54C238">
            <w:r>
              <w:rPr>
                <w:noProof/>
              </w:rPr>
              <w:drawing>
                <wp:inline distT="0" distB="0" distL="0" distR="0" wp14:anchorId="19D87E3D" wp14:editId="4E907819">
                  <wp:extent cx="3495675" cy="1685927"/>
                  <wp:effectExtent l="0" t="0" r="0" b="0"/>
                  <wp:docPr id="12140366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036671" name="Picture 1214036671"/>
                          <pic:cNvPicPr/>
                        </pic:nvPicPr>
                        <pic:blipFill>
                          <a:blip r:embed="rId99">
                            <a:extLst>
                              <a:ext uri="{28A0092B-C50C-407E-A947-70E740481C1C}">
                                <a14:useLocalDpi xmlns:a14="http://schemas.microsoft.com/office/drawing/2010/main"/>
                              </a:ext>
                            </a:extLst>
                          </a:blip>
                          <a:srcRect t="27755"/>
                          <a:stretch>
                            <a:fillRect/>
                          </a:stretch>
                        </pic:blipFill>
                        <pic:spPr>
                          <a:xfrm>
                            <a:off x="0" y="0"/>
                            <a:ext cx="3495675" cy="1685927"/>
                          </a:xfrm>
                          <a:prstGeom prst="rect">
                            <a:avLst/>
                          </a:prstGeom>
                        </pic:spPr>
                      </pic:pic>
                    </a:graphicData>
                  </a:graphic>
                </wp:inline>
              </w:drawing>
            </w:r>
          </w:p>
        </w:tc>
        <w:tc>
          <w:tcPr>
            <w:tcW w:w="3250" w:type="dxa"/>
          </w:tcPr>
          <w:p w14:paraId="4D5562B2" w14:textId="4F863212" w:rsidR="59BD4447" w:rsidRDefault="59BD4447" w:rsidP="68D41FDE">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12360E8C" w14:textId="29545D7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Planta de Potencia Hidroeléctrica con Turbina Francis, Controlada desde PC.</w:t>
            </w:r>
            <w:r w:rsidRPr="3C234025">
              <w:rPr>
                <w:rFonts w:asciiTheme="minorHAnsi" w:eastAsiaTheme="minorEastAsia" w:hAnsiTheme="minorHAnsi" w:cstheme="minorBidi"/>
                <w:sz w:val="20"/>
                <w:szCs w:val="20"/>
              </w:rPr>
              <w:t xml:space="preserve"> </w:t>
            </w:r>
          </w:p>
          <w:p w14:paraId="747C67D2" w14:textId="464B578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estudio del funcionamiento de turbinas Francis utilizadas en centrales hidroeléctricas de altura media. </w:t>
            </w:r>
          </w:p>
          <w:p w14:paraId="645EC6D7" w14:textId="72DF57EB" w:rsidR="59BD4447" w:rsidRDefault="59BD4447" w:rsidP="3C234025">
            <w:pPr>
              <w:jc w:val="both"/>
              <w:rPr>
                <w:rFonts w:asciiTheme="minorHAnsi" w:eastAsiaTheme="minorEastAsia" w:hAnsiTheme="minorHAnsi" w:cstheme="minorBidi"/>
                <w:b/>
                <w:bCs/>
                <w:sz w:val="20"/>
                <w:szCs w:val="20"/>
              </w:rPr>
            </w:pPr>
          </w:p>
          <w:p w14:paraId="7DB583BA" w14:textId="73E0091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2F851C66" w14:textId="0358494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Planta de potencia hidroeléctrica con turbina Francis controlada desde computador (tipo HPPF o TFC-PLANT). Turbina Francis a escala de laboratorio con paletas directrices orientables. Caudal de operación: 1-5 L/s. Caída neta simulada: 1-5 m (mediante bomba de recirculación ≥ 750 W). Velocidad nominal del rodete: 1000-3000 rpm. Potencia generada: 50-200 W (dependiendo del régimen). Generador síncrono trifásico acoplado. Sensores: presión diferencial (0-10 m.c.a.), caudal (0.5-6 L/s), velocidad angular, torque. Sistema de recirculación cerrado con depósito ≥ 200 L. Software SCADA para control y adquisición de datos desde PC.</w:t>
            </w:r>
          </w:p>
        </w:tc>
      </w:tr>
      <w:tr w:rsidR="59BD4447" w14:paraId="3FF86C6D" w14:textId="77777777" w:rsidTr="3C234025">
        <w:trPr>
          <w:trHeight w:val="300"/>
        </w:trPr>
        <w:tc>
          <w:tcPr>
            <w:tcW w:w="765" w:type="dxa"/>
          </w:tcPr>
          <w:p w14:paraId="5AEFD1DC" w14:textId="7D112AE0" w:rsidR="67027FAB" w:rsidRDefault="67027FAB"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5</w:t>
            </w:r>
          </w:p>
        </w:tc>
        <w:tc>
          <w:tcPr>
            <w:tcW w:w="5735" w:type="dxa"/>
          </w:tcPr>
          <w:p w14:paraId="72398260" w14:textId="3BA6AAA5" w:rsidR="59BD4447" w:rsidRDefault="4914E2BD" w:rsidP="5F54C238">
            <w:r>
              <w:rPr>
                <w:noProof/>
              </w:rPr>
              <w:drawing>
                <wp:inline distT="0" distB="0" distL="0" distR="0" wp14:anchorId="7B6ABD81" wp14:editId="4B72E163">
                  <wp:extent cx="2828945" cy="2552713"/>
                  <wp:effectExtent l="0" t="0" r="0" b="0"/>
                  <wp:docPr id="17321510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151040" name="Picture 1732151040"/>
                          <pic:cNvPicPr/>
                        </pic:nvPicPr>
                        <pic:blipFill>
                          <a:blip r:embed="rId100">
                            <a:extLst>
                              <a:ext uri="{28A0092B-C50C-407E-A947-70E740481C1C}">
                                <a14:useLocalDpi xmlns:a14="http://schemas.microsoft.com/office/drawing/2010/main"/>
                              </a:ext>
                            </a:extLst>
                          </a:blip>
                          <a:srcRect t="9459" r="19073"/>
                          <a:stretch>
                            <a:fillRect/>
                          </a:stretch>
                        </pic:blipFill>
                        <pic:spPr>
                          <a:xfrm>
                            <a:off x="0" y="0"/>
                            <a:ext cx="2828945" cy="2552713"/>
                          </a:xfrm>
                          <a:prstGeom prst="rect">
                            <a:avLst/>
                          </a:prstGeom>
                        </pic:spPr>
                      </pic:pic>
                    </a:graphicData>
                  </a:graphic>
                </wp:inline>
              </w:drawing>
            </w:r>
          </w:p>
        </w:tc>
        <w:tc>
          <w:tcPr>
            <w:tcW w:w="3250" w:type="dxa"/>
          </w:tcPr>
          <w:p w14:paraId="5485998F" w14:textId="1A8CFF14" w:rsidR="59BD4447" w:rsidRDefault="59BD4447" w:rsidP="68D41FDE">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57E3F57F" w14:textId="720BA4A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Turbina Pelton Controlada desde PC.</w:t>
            </w:r>
            <w:r w:rsidRPr="3C234025">
              <w:rPr>
                <w:rFonts w:asciiTheme="minorHAnsi" w:eastAsiaTheme="minorEastAsia" w:hAnsiTheme="minorHAnsi" w:cstheme="minorBidi"/>
                <w:sz w:val="20"/>
                <w:szCs w:val="20"/>
              </w:rPr>
              <w:t xml:space="preserve"> Permitir el estudio experimental del comportamiento de turbinas Pelton y sus curvas características. </w:t>
            </w:r>
          </w:p>
          <w:p w14:paraId="3D530EF4" w14:textId="1A92E965" w:rsidR="59BD4447" w:rsidRDefault="59BD4447" w:rsidP="3C234025">
            <w:pPr>
              <w:jc w:val="both"/>
              <w:rPr>
                <w:rFonts w:asciiTheme="minorHAnsi" w:eastAsiaTheme="minorEastAsia" w:hAnsiTheme="minorHAnsi" w:cstheme="minorBidi"/>
                <w:b/>
                <w:bCs/>
                <w:sz w:val="20"/>
                <w:szCs w:val="20"/>
              </w:rPr>
            </w:pPr>
          </w:p>
          <w:p w14:paraId="70928D1C" w14:textId="64354A7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4D43AD87" w14:textId="4ADBA83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Turbina Pelton didáctica controlada desde computador (tipo TPC o FME16-C o equivalente). Rodete Pelton con 16 álabes, carcasa transparente de inspección. Válvula de aguja para regulación de caudal (apertura 0-100% desde PC). Bomba de suministro controlada por computador. Sensores integrados: presión de entrada (0-6 bar), caudal (0.01-0.15 L/s), velocidad rotacional (sensor óptico, 0-3000 rpm), torque (freno electromagnético). Cálculo automático de: potencia hidráulica, potencia mecánica, eficiencia hidráulica, eficiencia global. Software SCADA con representación gráfica de curvas características (η, P vs. n).</w:t>
            </w:r>
          </w:p>
        </w:tc>
      </w:tr>
      <w:tr w:rsidR="59BD4447" w14:paraId="106A2FDF" w14:textId="77777777" w:rsidTr="3C234025">
        <w:trPr>
          <w:trHeight w:val="300"/>
        </w:trPr>
        <w:tc>
          <w:tcPr>
            <w:tcW w:w="765" w:type="dxa"/>
          </w:tcPr>
          <w:p w14:paraId="0910F1B3" w14:textId="1248AF83" w:rsidR="7B40EC43" w:rsidRDefault="7B40EC43"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6</w:t>
            </w:r>
          </w:p>
        </w:tc>
        <w:tc>
          <w:tcPr>
            <w:tcW w:w="5735" w:type="dxa"/>
          </w:tcPr>
          <w:p w14:paraId="6A28BD4C" w14:textId="627008D7" w:rsidR="59BD4447" w:rsidRDefault="7A2FD201" w:rsidP="5F54C238">
            <w:r>
              <w:rPr>
                <w:noProof/>
              </w:rPr>
              <w:drawing>
                <wp:inline distT="0" distB="0" distL="0" distR="0" wp14:anchorId="79D37060" wp14:editId="1D762B14">
                  <wp:extent cx="2752739" cy="2533654"/>
                  <wp:effectExtent l="0" t="0" r="0" b="0"/>
                  <wp:docPr id="12340365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36522" name="Picture 1234036522"/>
                          <pic:cNvPicPr/>
                        </pic:nvPicPr>
                        <pic:blipFill>
                          <a:blip r:embed="rId101">
                            <a:extLst>
                              <a:ext uri="{28A0092B-C50C-407E-A947-70E740481C1C}">
                                <a14:useLocalDpi xmlns:a14="http://schemas.microsoft.com/office/drawing/2010/main"/>
                              </a:ext>
                            </a:extLst>
                          </a:blip>
                          <a:srcRect t="10135" r="21253"/>
                          <a:stretch>
                            <a:fillRect/>
                          </a:stretch>
                        </pic:blipFill>
                        <pic:spPr>
                          <a:xfrm>
                            <a:off x="0" y="0"/>
                            <a:ext cx="2752739" cy="2533654"/>
                          </a:xfrm>
                          <a:prstGeom prst="rect">
                            <a:avLst/>
                          </a:prstGeom>
                        </pic:spPr>
                      </pic:pic>
                    </a:graphicData>
                  </a:graphic>
                </wp:inline>
              </w:drawing>
            </w:r>
          </w:p>
        </w:tc>
        <w:tc>
          <w:tcPr>
            <w:tcW w:w="3250" w:type="dxa"/>
          </w:tcPr>
          <w:p w14:paraId="278468C1" w14:textId="1ECDEEBF" w:rsidR="59BD4447" w:rsidRDefault="59BD4447" w:rsidP="68D41FDE">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273874FB" w14:textId="2967C49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Turbina Francis Controlada desde PC.</w:t>
            </w:r>
            <w:r w:rsidRPr="3C234025">
              <w:rPr>
                <w:rFonts w:asciiTheme="minorHAnsi" w:eastAsiaTheme="minorEastAsia" w:hAnsiTheme="minorHAnsi" w:cstheme="minorBidi"/>
                <w:sz w:val="20"/>
                <w:szCs w:val="20"/>
              </w:rPr>
              <w:t xml:space="preserve"> Permitir el análisis experimental de turbinas Francis en condiciones controladas de flujo. </w:t>
            </w:r>
          </w:p>
          <w:p w14:paraId="1970DEE4" w14:textId="071AAC6B" w:rsidR="59BD4447" w:rsidRDefault="59BD4447" w:rsidP="3C234025">
            <w:pPr>
              <w:jc w:val="both"/>
              <w:rPr>
                <w:rFonts w:asciiTheme="minorHAnsi" w:eastAsiaTheme="minorEastAsia" w:hAnsiTheme="minorHAnsi" w:cstheme="minorBidi"/>
                <w:b/>
                <w:bCs/>
                <w:sz w:val="20"/>
                <w:szCs w:val="20"/>
              </w:rPr>
            </w:pPr>
          </w:p>
          <w:p w14:paraId="20E62008" w14:textId="18F59BA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30D87AD8" w14:textId="7812563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Turbina Francis didáctica controlada desde computador (tipo TFC o equivalente). Turbina de reacción de flujo mixto con paletas directrices orientables manualmente. Caudal de operación: 0.5-3 L/s. Presión diferencial: 1-10 m.c.a. Freno de carga electromagnético o de Prony para medición de potencia mecánica. Sensores: manómetros de entrada/salida, caudalímetro (rotámetro o electromagnético), tacómetro óptico (0-3000 rpm), sensor de torque (0-5 Nm). Banco hidráulico de recirculación con bomba ≥ 500 W incluido. Permite determinación de curvas universales de la turbina (colina de rendimiento).</w:t>
            </w:r>
          </w:p>
        </w:tc>
      </w:tr>
      <w:tr w:rsidR="59BD4447" w14:paraId="2EAE02BE" w14:textId="77777777" w:rsidTr="3C234025">
        <w:trPr>
          <w:trHeight w:val="300"/>
        </w:trPr>
        <w:tc>
          <w:tcPr>
            <w:tcW w:w="765" w:type="dxa"/>
          </w:tcPr>
          <w:p w14:paraId="198537BC" w14:textId="1E8FF5B9" w:rsidR="7B40EC43" w:rsidRDefault="7B40EC43"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7</w:t>
            </w:r>
          </w:p>
        </w:tc>
        <w:tc>
          <w:tcPr>
            <w:tcW w:w="5735" w:type="dxa"/>
          </w:tcPr>
          <w:p w14:paraId="03DB785D" w14:textId="1FB049C4" w:rsidR="59BD4447" w:rsidRDefault="7C499FBF" w:rsidP="5F54C238">
            <w:r>
              <w:rPr>
                <w:noProof/>
              </w:rPr>
              <w:drawing>
                <wp:inline distT="0" distB="0" distL="0" distR="0" wp14:anchorId="16C4D712" wp14:editId="35122C93">
                  <wp:extent cx="2943253" cy="2400324"/>
                  <wp:effectExtent l="0" t="0" r="0" b="0"/>
                  <wp:docPr id="2000776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7631" name="Picture 200077631"/>
                          <pic:cNvPicPr/>
                        </pic:nvPicPr>
                        <pic:blipFill>
                          <a:blip r:embed="rId102">
                            <a:extLst>
                              <a:ext uri="{28A0092B-C50C-407E-A947-70E740481C1C}">
                                <a14:useLocalDpi xmlns:a14="http://schemas.microsoft.com/office/drawing/2010/main"/>
                              </a:ext>
                            </a:extLst>
                          </a:blip>
                          <a:srcRect t="14864" r="15803"/>
                          <a:stretch>
                            <a:fillRect/>
                          </a:stretch>
                        </pic:blipFill>
                        <pic:spPr>
                          <a:xfrm>
                            <a:off x="0" y="0"/>
                            <a:ext cx="2943253" cy="2400324"/>
                          </a:xfrm>
                          <a:prstGeom prst="rect">
                            <a:avLst/>
                          </a:prstGeom>
                        </pic:spPr>
                      </pic:pic>
                    </a:graphicData>
                  </a:graphic>
                </wp:inline>
              </w:drawing>
            </w:r>
          </w:p>
        </w:tc>
        <w:tc>
          <w:tcPr>
            <w:tcW w:w="3250" w:type="dxa"/>
          </w:tcPr>
          <w:p w14:paraId="0F3B0317" w14:textId="2AB92F82" w:rsidR="59BD4447" w:rsidRDefault="59BD4447" w:rsidP="68D41FDE">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2326C20D" w14:textId="3A96179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Turbina Kaplan Controlada desde PC.</w:t>
            </w:r>
            <w:r w:rsidRPr="3C234025">
              <w:rPr>
                <w:rFonts w:asciiTheme="minorHAnsi" w:eastAsiaTheme="minorEastAsia" w:hAnsiTheme="minorHAnsi" w:cstheme="minorBidi"/>
                <w:sz w:val="20"/>
                <w:szCs w:val="20"/>
              </w:rPr>
              <w:t xml:space="preserve"> </w:t>
            </w:r>
          </w:p>
          <w:p w14:paraId="06A22959" w14:textId="5CB4BD6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Permitir el estudio de turbinas Kaplan utilizadas en centrales hidroeléctricas de bajo salto y alto caudal.</w:t>
            </w:r>
          </w:p>
          <w:p w14:paraId="19A7007F" w14:textId="0477ACDA" w:rsidR="59BD4447" w:rsidRDefault="59BD4447" w:rsidP="3C234025">
            <w:pPr>
              <w:jc w:val="both"/>
              <w:rPr>
                <w:rFonts w:asciiTheme="minorHAnsi" w:eastAsiaTheme="minorEastAsia" w:hAnsiTheme="minorHAnsi" w:cstheme="minorBidi"/>
                <w:sz w:val="20"/>
                <w:szCs w:val="20"/>
              </w:rPr>
            </w:pPr>
          </w:p>
          <w:p w14:paraId="7D112523" w14:textId="207A1EF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49D9484A" w14:textId="5B56461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Turbina Kaplan didáctica controlada desde computador (tipo TKC o equivalente). Turbina axial de paso variable con ángulo de álabe ajustable ±15° aproximado. Caudal de operación: 1-5 L/s. Caída neta: 0.5-3 m. Velocidad de rotación: 500-2000 rpm. Freno electromagnético para medición de par y potencia. Sensores: presión diferencial (transductor 0-5 bar), caudal (electromagnético o rotámetro), tacómetro óptico, sensor de torque. Permite estudio de curvas de eficiencia óptima en función del caudal y ángulo de álabe. Banco hidráulico de recirculación incluido.</w:t>
            </w:r>
          </w:p>
        </w:tc>
      </w:tr>
      <w:tr w:rsidR="59BD4447" w14:paraId="51149056" w14:textId="77777777" w:rsidTr="3C234025">
        <w:trPr>
          <w:trHeight w:val="300"/>
        </w:trPr>
        <w:tc>
          <w:tcPr>
            <w:tcW w:w="765" w:type="dxa"/>
          </w:tcPr>
          <w:p w14:paraId="169E2213" w14:textId="0169BF12" w:rsidR="283D4662" w:rsidRDefault="283D4662"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8</w:t>
            </w:r>
          </w:p>
        </w:tc>
        <w:tc>
          <w:tcPr>
            <w:tcW w:w="5735" w:type="dxa"/>
          </w:tcPr>
          <w:p w14:paraId="60E68CB7" w14:textId="7231B8C6" w:rsidR="59BD4447" w:rsidRDefault="13D4BB03" w:rsidP="5F54C238">
            <w:r>
              <w:rPr>
                <w:noProof/>
              </w:rPr>
              <w:drawing>
                <wp:inline distT="0" distB="0" distL="0" distR="0" wp14:anchorId="4F16818E" wp14:editId="0D2E4BF1">
                  <wp:extent cx="2828945" cy="2600333"/>
                  <wp:effectExtent l="0" t="0" r="0" b="0"/>
                  <wp:docPr id="7619425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42518" name="Picture 761942518"/>
                          <pic:cNvPicPr/>
                        </pic:nvPicPr>
                        <pic:blipFill>
                          <a:blip r:embed="rId103">
                            <a:extLst>
                              <a:ext uri="{28A0092B-C50C-407E-A947-70E740481C1C}">
                                <a14:useLocalDpi xmlns:a14="http://schemas.microsoft.com/office/drawing/2010/main"/>
                              </a:ext>
                            </a:extLst>
                          </a:blip>
                          <a:srcRect t="7770" r="19073"/>
                          <a:stretch>
                            <a:fillRect/>
                          </a:stretch>
                        </pic:blipFill>
                        <pic:spPr>
                          <a:xfrm>
                            <a:off x="0" y="0"/>
                            <a:ext cx="2828945" cy="2600333"/>
                          </a:xfrm>
                          <a:prstGeom prst="rect">
                            <a:avLst/>
                          </a:prstGeom>
                        </pic:spPr>
                      </pic:pic>
                    </a:graphicData>
                  </a:graphic>
                </wp:inline>
              </w:drawing>
            </w:r>
          </w:p>
        </w:tc>
        <w:tc>
          <w:tcPr>
            <w:tcW w:w="3250" w:type="dxa"/>
          </w:tcPr>
          <w:p w14:paraId="2B9A5D58" w14:textId="57E98879" w:rsidR="59BD4447" w:rsidRDefault="59BD4447" w:rsidP="68D41FDE">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06EE8BB7" w14:textId="266E335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Turbina de Flujo Radial Controlada desde PC.</w:t>
            </w:r>
            <w:r w:rsidRPr="3C234025">
              <w:rPr>
                <w:rFonts w:asciiTheme="minorHAnsi" w:eastAsiaTheme="minorEastAsia" w:hAnsiTheme="minorHAnsi" w:cstheme="minorBidi"/>
                <w:sz w:val="20"/>
                <w:szCs w:val="20"/>
              </w:rPr>
              <w:t xml:space="preserve"> </w:t>
            </w:r>
          </w:p>
          <w:p w14:paraId="6841E4BD" w14:textId="5287523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Permitir el estudio del comportamiento hidráulico de turbinas radiales y análisis de sus curvas características.</w:t>
            </w:r>
          </w:p>
          <w:p w14:paraId="654A92A8" w14:textId="3347B0C5" w:rsidR="59BD4447" w:rsidRDefault="59BD4447" w:rsidP="3C234025">
            <w:pPr>
              <w:jc w:val="both"/>
              <w:rPr>
                <w:rFonts w:asciiTheme="minorHAnsi" w:eastAsiaTheme="minorEastAsia" w:hAnsiTheme="minorHAnsi" w:cstheme="minorBidi"/>
                <w:sz w:val="20"/>
                <w:szCs w:val="20"/>
              </w:rPr>
            </w:pPr>
          </w:p>
          <w:p w14:paraId="7C4BC998" w14:textId="2E2DF09C"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1622A847" w14:textId="036A286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Turbina de flujo radial (tipo Turgo o Pelton radial) controlada desde computador. Toberas de inyección ajustables: 1-3 toberas intercambiables. Caudal de operación: 0.5-2 L/s. Presión de inyección: 2-8 bar. Velocidad de rotación: 500-3000 rpm. Sensores: presión en toberas (0-10 bar), caudal (0.1-3 L/s), velocidad angular (sensor óptico), fuerza de álabe (celda de carga 0-50 N). Freno electromagnético o hidráulico para medición de potencia. Banco hidráulico de recirculación con bomba ≥ 500 W incluido.</w:t>
            </w:r>
          </w:p>
        </w:tc>
      </w:tr>
      <w:tr w:rsidR="59BD4447" w14:paraId="25E68FE7" w14:textId="77777777" w:rsidTr="3C234025">
        <w:trPr>
          <w:trHeight w:val="300"/>
        </w:trPr>
        <w:tc>
          <w:tcPr>
            <w:tcW w:w="765" w:type="dxa"/>
          </w:tcPr>
          <w:p w14:paraId="5EFC3C98" w14:textId="7C560BAA" w:rsidR="189AAEA7" w:rsidRDefault="189AAEA7"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9</w:t>
            </w:r>
          </w:p>
        </w:tc>
        <w:tc>
          <w:tcPr>
            <w:tcW w:w="5735" w:type="dxa"/>
          </w:tcPr>
          <w:p w14:paraId="7D0641B1" w14:textId="33E181A5" w:rsidR="59BD4447" w:rsidRDefault="2E9FA83C" w:rsidP="5F54C238">
            <w:r>
              <w:rPr>
                <w:noProof/>
              </w:rPr>
              <w:drawing>
                <wp:inline distT="0" distB="0" distL="0" distR="0" wp14:anchorId="46DF42E9" wp14:editId="5B171B30">
                  <wp:extent cx="2838453" cy="2638451"/>
                  <wp:effectExtent l="0" t="0" r="0" b="0"/>
                  <wp:docPr id="15803112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311259" name="Picture 1580311259"/>
                          <pic:cNvPicPr/>
                        </pic:nvPicPr>
                        <pic:blipFill>
                          <a:blip r:embed="rId104">
                            <a:extLst>
                              <a:ext uri="{28A0092B-C50C-407E-A947-70E740481C1C}">
                                <a14:useLocalDpi xmlns:a14="http://schemas.microsoft.com/office/drawing/2010/main"/>
                              </a:ext>
                            </a:extLst>
                          </a:blip>
                          <a:srcRect t="6418" r="18801"/>
                          <a:stretch>
                            <a:fillRect/>
                          </a:stretch>
                        </pic:blipFill>
                        <pic:spPr>
                          <a:xfrm>
                            <a:off x="0" y="0"/>
                            <a:ext cx="2838453" cy="2638451"/>
                          </a:xfrm>
                          <a:prstGeom prst="rect">
                            <a:avLst/>
                          </a:prstGeom>
                        </pic:spPr>
                      </pic:pic>
                    </a:graphicData>
                  </a:graphic>
                </wp:inline>
              </w:drawing>
            </w:r>
          </w:p>
        </w:tc>
        <w:tc>
          <w:tcPr>
            <w:tcW w:w="3250" w:type="dxa"/>
          </w:tcPr>
          <w:p w14:paraId="519D3C9A" w14:textId="4DB3D25E" w:rsidR="59BD4447" w:rsidRDefault="59BD4447" w:rsidP="68D41FDE">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5A02CE0C" w14:textId="406370D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Turbina de Flujo Axial Controlada desde PC.</w:t>
            </w:r>
            <w:r w:rsidRPr="3C234025">
              <w:rPr>
                <w:rFonts w:asciiTheme="minorHAnsi" w:eastAsiaTheme="minorEastAsia" w:hAnsiTheme="minorHAnsi" w:cstheme="minorBidi"/>
                <w:sz w:val="20"/>
                <w:szCs w:val="20"/>
              </w:rPr>
              <w:t xml:space="preserve"> </w:t>
            </w:r>
          </w:p>
          <w:p w14:paraId="44D2866F" w14:textId="4E109A7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estudio de turbinas con flujo axial utilizadas en aplicaciones hidráulicas de baja caída. </w:t>
            </w:r>
          </w:p>
          <w:p w14:paraId="0DB3813D" w14:textId="786B94C4" w:rsidR="59BD4447" w:rsidRDefault="59BD4447" w:rsidP="3C234025">
            <w:pPr>
              <w:jc w:val="both"/>
              <w:rPr>
                <w:rFonts w:asciiTheme="minorHAnsi" w:eastAsiaTheme="minorEastAsia" w:hAnsiTheme="minorHAnsi" w:cstheme="minorBidi"/>
                <w:b/>
                <w:bCs/>
                <w:sz w:val="20"/>
                <w:szCs w:val="20"/>
              </w:rPr>
            </w:pPr>
          </w:p>
          <w:p w14:paraId="0193D045" w14:textId="5E85A97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3EE9D99D" w14:textId="65D6257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Turbina de flujo axial (tipo Kaplan simplificado o hélice) controlada desde computador. Diámetro del rodete: 50-150 mm aproximado. Caudal de operación: 0.5-5 L/s. Caída neta: 0.5-3 m. Velocidad nominal: 500-2000 rpm. Sensores: caudalímetro (electromagnético, precisión ±1%), transductores de presión diferencial (0-5 m.c.a.), tacómetro digital (0-3000 rpm), sensor de torque (0-10 Nm). Freno de carga para determinación de potencia al freno. Eficiencia típica medible: 50-80%.</w:t>
            </w:r>
          </w:p>
        </w:tc>
      </w:tr>
      <w:tr w:rsidR="59BD4447" w14:paraId="77E7A839" w14:textId="77777777" w:rsidTr="3C234025">
        <w:trPr>
          <w:trHeight w:val="300"/>
        </w:trPr>
        <w:tc>
          <w:tcPr>
            <w:tcW w:w="765" w:type="dxa"/>
          </w:tcPr>
          <w:p w14:paraId="02E513DF" w14:textId="078614ED" w:rsidR="01942300" w:rsidRDefault="01942300"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10</w:t>
            </w:r>
          </w:p>
        </w:tc>
        <w:tc>
          <w:tcPr>
            <w:tcW w:w="5735" w:type="dxa"/>
          </w:tcPr>
          <w:p w14:paraId="7CA2C113" w14:textId="76FD1C95" w:rsidR="59BD4447" w:rsidRDefault="43F2167D" w:rsidP="5F54C238">
            <w:r>
              <w:rPr>
                <w:noProof/>
              </w:rPr>
              <w:drawing>
                <wp:inline distT="0" distB="0" distL="0" distR="0" wp14:anchorId="608BF5EE" wp14:editId="31D4EDA4">
                  <wp:extent cx="3495675" cy="2133609"/>
                  <wp:effectExtent l="0" t="0" r="0" b="0"/>
                  <wp:docPr id="26602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273" name="Picture 2660273"/>
                          <pic:cNvPicPr/>
                        </pic:nvPicPr>
                        <pic:blipFill>
                          <a:blip r:embed="rId105">
                            <a:extLst>
                              <a:ext uri="{28A0092B-C50C-407E-A947-70E740481C1C}">
                                <a14:useLocalDpi xmlns:a14="http://schemas.microsoft.com/office/drawing/2010/main"/>
                              </a:ext>
                            </a:extLst>
                          </a:blip>
                          <a:srcRect t="24324"/>
                          <a:stretch>
                            <a:fillRect/>
                          </a:stretch>
                        </pic:blipFill>
                        <pic:spPr>
                          <a:xfrm>
                            <a:off x="0" y="0"/>
                            <a:ext cx="3495675" cy="2133609"/>
                          </a:xfrm>
                          <a:prstGeom prst="rect">
                            <a:avLst/>
                          </a:prstGeom>
                        </pic:spPr>
                      </pic:pic>
                    </a:graphicData>
                  </a:graphic>
                </wp:inline>
              </w:drawing>
            </w:r>
          </w:p>
        </w:tc>
        <w:tc>
          <w:tcPr>
            <w:tcW w:w="3250" w:type="dxa"/>
          </w:tcPr>
          <w:p w14:paraId="521BAD28" w14:textId="4AF4839A" w:rsidR="59BD4447" w:rsidRDefault="59BD4447" w:rsidP="68D41FDE">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3A72B3ED" w14:textId="77B4DF7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Turbina Experimental de Reacción Controlada desde PC.</w:t>
            </w:r>
            <w:r w:rsidRPr="3C234025">
              <w:rPr>
                <w:rFonts w:asciiTheme="minorHAnsi" w:eastAsiaTheme="minorEastAsia" w:hAnsiTheme="minorHAnsi" w:cstheme="minorBidi"/>
                <w:sz w:val="20"/>
                <w:szCs w:val="20"/>
              </w:rPr>
              <w:t xml:space="preserve"> </w:t>
            </w:r>
          </w:p>
          <w:p w14:paraId="2CF4568C" w14:textId="11E1CF1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análisis del funcionamiento de turbinas de reacción a pequeña escala. </w:t>
            </w:r>
          </w:p>
          <w:p w14:paraId="66C4C7C8" w14:textId="2280CB06" w:rsidR="59BD4447" w:rsidRDefault="59BD4447" w:rsidP="3C234025">
            <w:pPr>
              <w:jc w:val="both"/>
              <w:rPr>
                <w:rFonts w:asciiTheme="minorHAnsi" w:eastAsiaTheme="minorEastAsia" w:hAnsiTheme="minorHAnsi" w:cstheme="minorBidi"/>
                <w:b/>
                <w:bCs/>
                <w:sz w:val="20"/>
                <w:szCs w:val="20"/>
              </w:rPr>
            </w:pPr>
          </w:p>
          <w:p w14:paraId="0A7F0F04" w14:textId="4CB0EE4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7A34D3E3" w14:textId="130CE01E"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Turbina experimental de reacción (tipo Francis o Deriaz) a escala reducida, controlada desde computador. Rodete de reacción de flujo mixto o radial-axial. Caudal: 0.5-3 L/s; presión diferencial: 2-10 m.c.a. Generador eléctrico acoplado (≥ 50 W, 12-24 VDC) para medición de potencia eléctrica. Sensores: presión de entrada (transductor 0-5 bar), caudal (electromagnético), velocidad (encoder óptico), tensión y corriente generadas. Banco hidráulico de suministro con bomba ≥ 500 W.</w:t>
            </w:r>
          </w:p>
        </w:tc>
      </w:tr>
      <w:tr w:rsidR="59BD4447" w14:paraId="3FFAD5E4" w14:textId="77777777" w:rsidTr="3C234025">
        <w:trPr>
          <w:trHeight w:val="300"/>
        </w:trPr>
        <w:tc>
          <w:tcPr>
            <w:tcW w:w="765" w:type="dxa"/>
          </w:tcPr>
          <w:p w14:paraId="2EBA2755" w14:textId="7028A25F" w:rsidR="5D91C5FE" w:rsidRDefault="5D91C5FE"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11</w:t>
            </w:r>
          </w:p>
        </w:tc>
        <w:tc>
          <w:tcPr>
            <w:tcW w:w="5735" w:type="dxa"/>
          </w:tcPr>
          <w:p w14:paraId="26EE4F77" w14:textId="4F0A5B9B" w:rsidR="59BD4447" w:rsidRDefault="63F69D7B" w:rsidP="4DC86097">
            <w:r>
              <w:rPr>
                <w:noProof/>
              </w:rPr>
              <w:drawing>
                <wp:inline distT="0" distB="0" distL="0" distR="0" wp14:anchorId="462756DA" wp14:editId="3FF87BAF">
                  <wp:extent cx="3495675" cy="2181229"/>
                  <wp:effectExtent l="0" t="0" r="0" b="0"/>
                  <wp:docPr id="2138571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7194" name="Picture 213857194"/>
                          <pic:cNvPicPr/>
                        </pic:nvPicPr>
                        <pic:blipFill>
                          <a:blip r:embed="rId106">
                            <a:extLst>
                              <a:ext uri="{28A0092B-C50C-407E-A947-70E740481C1C}">
                                <a14:useLocalDpi xmlns:a14="http://schemas.microsoft.com/office/drawing/2010/main"/>
                              </a:ext>
                            </a:extLst>
                          </a:blip>
                          <a:srcRect t="22635"/>
                          <a:stretch>
                            <a:fillRect/>
                          </a:stretch>
                        </pic:blipFill>
                        <pic:spPr>
                          <a:xfrm>
                            <a:off x="0" y="0"/>
                            <a:ext cx="3495675" cy="2181229"/>
                          </a:xfrm>
                          <a:prstGeom prst="rect">
                            <a:avLst/>
                          </a:prstGeom>
                        </pic:spPr>
                      </pic:pic>
                    </a:graphicData>
                  </a:graphic>
                </wp:inline>
              </w:drawing>
            </w:r>
          </w:p>
        </w:tc>
        <w:tc>
          <w:tcPr>
            <w:tcW w:w="3250" w:type="dxa"/>
          </w:tcPr>
          <w:p w14:paraId="005A9310" w14:textId="49658691" w:rsidR="59BD4447" w:rsidRDefault="59BD4447" w:rsidP="68D41FDE">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500D2F66" w14:textId="0B76FD9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Turbina Experimental de Impulsión Controlada desde PC.</w:t>
            </w:r>
            <w:r w:rsidRPr="3C234025">
              <w:rPr>
                <w:rFonts w:asciiTheme="minorHAnsi" w:eastAsiaTheme="minorEastAsia" w:hAnsiTheme="minorHAnsi" w:cstheme="minorBidi"/>
                <w:sz w:val="20"/>
                <w:szCs w:val="20"/>
              </w:rPr>
              <w:t xml:space="preserve"> </w:t>
            </w:r>
          </w:p>
          <w:p w14:paraId="53D1C953" w14:textId="7D16D0F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estudio de turbinas de impulsión mediante experimentación con aire o fluidos. </w:t>
            </w:r>
          </w:p>
          <w:p w14:paraId="545DB96C" w14:textId="65DEBD17" w:rsidR="59BD4447" w:rsidRDefault="59BD4447" w:rsidP="3C234025">
            <w:pPr>
              <w:jc w:val="both"/>
              <w:rPr>
                <w:rFonts w:asciiTheme="minorHAnsi" w:eastAsiaTheme="minorEastAsia" w:hAnsiTheme="minorHAnsi" w:cstheme="minorBidi"/>
                <w:b/>
                <w:bCs/>
                <w:sz w:val="20"/>
                <w:szCs w:val="20"/>
              </w:rPr>
            </w:pPr>
          </w:p>
          <w:p w14:paraId="0BAF66B7" w14:textId="45A337C4"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7603E7FF" w14:textId="63428B6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Turbina experimental de impulsión (tipo Pelton o Turgo en escala reducida) controlada desde computador, con posibilidad de operación con aire comprimido o agua. Tobera única o doble para inyección tangencial. Caudal (agua): 0.01-0.1 L/s; presión: hasta 5 bar. Medición de: par motor (celda de carga 0-10 Nm), velocidad angular (0-5000 rpm), caudal y presión de inyección. Freno de Prony o electromagnético para carga variable. Eficiencia hidráulica obtenible: 60-85% según régimen. Control de válvula de aguja desde software.</w:t>
            </w:r>
          </w:p>
        </w:tc>
      </w:tr>
      <w:tr w:rsidR="59BD4447" w14:paraId="125F386C" w14:textId="77777777" w:rsidTr="3C234025">
        <w:trPr>
          <w:trHeight w:val="300"/>
        </w:trPr>
        <w:tc>
          <w:tcPr>
            <w:tcW w:w="765" w:type="dxa"/>
          </w:tcPr>
          <w:p w14:paraId="5CF0283C" w14:textId="5C820468" w:rsidR="256AD33A" w:rsidRDefault="256AD33A"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12</w:t>
            </w:r>
          </w:p>
        </w:tc>
        <w:tc>
          <w:tcPr>
            <w:tcW w:w="5735" w:type="dxa"/>
          </w:tcPr>
          <w:p w14:paraId="5B96D45E" w14:textId="74089B46" w:rsidR="59BD4447" w:rsidRDefault="2CE8A4CD" w:rsidP="5F54C238">
            <w:r>
              <w:rPr>
                <w:noProof/>
              </w:rPr>
              <w:drawing>
                <wp:inline distT="0" distB="0" distL="0" distR="0" wp14:anchorId="498913DB" wp14:editId="65F61CA2">
                  <wp:extent cx="3495675" cy="1800248"/>
                  <wp:effectExtent l="0" t="0" r="0" b="0"/>
                  <wp:docPr id="3577025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02546" name="Picture 357702546"/>
                          <pic:cNvPicPr/>
                        </pic:nvPicPr>
                        <pic:blipFill>
                          <a:blip r:embed="rId107">
                            <a:extLst>
                              <a:ext uri="{28A0092B-C50C-407E-A947-70E740481C1C}">
                                <a14:useLocalDpi xmlns:a14="http://schemas.microsoft.com/office/drawing/2010/main"/>
                              </a:ext>
                            </a:extLst>
                          </a:blip>
                          <a:srcRect t="22540"/>
                          <a:stretch>
                            <a:fillRect/>
                          </a:stretch>
                        </pic:blipFill>
                        <pic:spPr>
                          <a:xfrm>
                            <a:off x="0" y="0"/>
                            <a:ext cx="3495675" cy="1800248"/>
                          </a:xfrm>
                          <a:prstGeom prst="rect">
                            <a:avLst/>
                          </a:prstGeom>
                        </pic:spPr>
                      </pic:pic>
                    </a:graphicData>
                  </a:graphic>
                </wp:inline>
              </w:drawing>
            </w:r>
          </w:p>
        </w:tc>
        <w:tc>
          <w:tcPr>
            <w:tcW w:w="3250" w:type="dxa"/>
          </w:tcPr>
          <w:p w14:paraId="29B012B3" w14:textId="27B42591" w:rsidR="59BD4447" w:rsidRDefault="59BD4447" w:rsidP="68D41FDE">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00619377" w14:textId="2054AD6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Fricción en Tuberías con Banco Hidráulico.</w:t>
            </w:r>
            <w:r w:rsidRPr="3C234025">
              <w:rPr>
                <w:rFonts w:asciiTheme="minorHAnsi" w:eastAsiaTheme="minorEastAsia" w:hAnsiTheme="minorHAnsi" w:cstheme="minorBidi"/>
                <w:sz w:val="20"/>
                <w:szCs w:val="20"/>
              </w:rPr>
              <w:t xml:space="preserve"> Permitir el análisis de pérdidas de carga y coeficientes de fricción en tuberías. </w:t>
            </w:r>
          </w:p>
          <w:p w14:paraId="5A2DC2CD" w14:textId="54829ECE" w:rsidR="59BD4447" w:rsidRDefault="59BD4447" w:rsidP="3C234025">
            <w:pPr>
              <w:jc w:val="both"/>
              <w:rPr>
                <w:rFonts w:asciiTheme="minorHAnsi" w:eastAsiaTheme="minorEastAsia" w:hAnsiTheme="minorHAnsi" w:cstheme="minorBidi"/>
                <w:b/>
                <w:bCs/>
                <w:sz w:val="20"/>
                <w:szCs w:val="20"/>
              </w:rPr>
            </w:pPr>
          </w:p>
          <w:p w14:paraId="2122BDAF" w14:textId="072E3B6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0F070A0E" w14:textId="69A71ACA"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Equipo de fricción en tuberías con banco hidráulico de recirculación (tipo FME00-FF o equivalente). Sistema de tuberías de múltiples diámetros y materiales: PVC liso DN 12, 16, 20 mm; acero galvanizado DN 12 mm; cobre DN 12 mm. Longitud de cada tramo de ensayo: ≥ 1.0 m. Incluye accesorios singulares: codo 90°, codo 45°, tee, válvula esférica, válvula de globo. Manómetros diferenciales de tubo en U con escala 0-1000 mm.c.a. Transductores de presión diferencial electrónicos (0-100 kPa, precisión ±0.5%). Caudal medible: 0.01-2 L/s mediante contador volumétrico (precisión ±0.5%). Bomba de recirculación: ≥ 300 W, con variador de velocidad para caudal variable. Permite determinación del factor de Darcy-Weisbach (f) y coeficiente de pérdidas singulares (K).</w:t>
            </w:r>
          </w:p>
        </w:tc>
      </w:tr>
      <w:tr w:rsidR="59BD4447" w14:paraId="2AEB6C6F" w14:textId="77777777" w:rsidTr="3C234025">
        <w:trPr>
          <w:trHeight w:val="300"/>
        </w:trPr>
        <w:tc>
          <w:tcPr>
            <w:tcW w:w="765" w:type="dxa"/>
          </w:tcPr>
          <w:p w14:paraId="4C30E03F" w14:textId="69F37060" w:rsidR="4B4D21C3" w:rsidRDefault="4B4D21C3"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13</w:t>
            </w:r>
          </w:p>
        </w:tc>
        <w:tc>
          <w:tcPr>
            <w:tcW w:w="5735" w:type="dxa"/>
          </w:tcPr>
          <w:p w14:paraId="77B6E482" w14:textId="75FA09B9" w:rsidR="59BD4447" w:rsidRDefault="20C80551" w:rsidP="5F54C238">
            <w:r>
              <w:rPr>
                <w:noProof/>
              </w:rPr>
              <w:drawing>
                <wp:inline distT="0" distB="0" distL="0" distR="0" wp14:anchorId="510370C7" wp14:editId="72C14EE3">
                  <wp:extent cx="3495675" cy="2333625"/>
                  <wp:effectExtent l="0" t="0" r="0" b="0"/>
                  <wp:docPr id="15438272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827278" name="Picture 1543827278"/>
                          <pic:cNvPicPr/>
                        </pic:nvPicPr>
                        <pic:blipFill>
                          <a:blip r:embed="rId108">
                            <a:extLst>
                              <a:ext uri="{28A0092B-C50C-407E-A947-70E740481C1C}">
                                <a14:useLocalDpi xmlns:a14="http://schemas.microsoft.com/office/drawing/2010/main"/>
                              </a:ext>
                            </a:extLst>
                          </a:blip>
                          <a:stretch>
                            <a:fillRect/>
                          </a:stretch>
                        </pic:blipFill>
                        <pic:spPr>
                          <a:xfrm>
                            <a:off x="0" y="0"/>
                            <a:ext cx="3495675" cy="2333625"/>
                          </a:xfrm>
                          <a:prstGeom prst="rect">
                            <a:avLst/>
                          </a:prstGeom>
                        </pic:spPr>
                      </pic:pic>
                    </a:graphicData>
                  </a:graphic>
                </wp:inline>
              </w:drawing>
            </w:r>
          </w:p>
        </w:tc>
        <w:tc>
          <w:tcPr>
            <w:tcW w:w="3250" w:type="dxa"/>
          </w:tcPr>
          <w:p w14:paraId="08EF2CD3" w14:textId="6A54B5EC" w:rsidR="59BD4447" w:rsidRDefault="59BD4447" w:rsidP="68D41FDE">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298BE02C" w14:textId="613B3F9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Golpe de Ariete Controlado desde PC.</w:t>
            </w:r>
            <w:r w:rsidRPr="3C234025">
              <w:rPr>
                <w:rFonts w:asciiTheme="minorHAnsi" w:eastAsiaTheme="minorEastAsia" w:hAnsiTheme="minorHAnsi" w:cstheme="minorBidi"/>
                <w:sz w:val="20"/>
                <w:szCs w:val="20"/>
              </w:rPr>
              <w:t xml:space="preserve"> Permitir el estudio del fenómeno de golpe de ariete en sistemas hidráulicos. </w:t>
            </w:r>
          </w:p>
          <w:p w14:paraId="049554A1" w14:textId="0D1D7B40" w:rsidR="59BD4447" w:rsidRDefault="59BD4447" w:rsidP="3C234025">
            <w:pPr>
              <w:jc w:val="both"/>
              <w:rPr>
                <w:rFonts w:asciiTheme="minorHAnsi" w:eastAsiaTheme="minorEastAsia" w:hAnsiTheme="minorHAnsi" w:cstheme="minorBidi"/>
                <w:b/>
                <w:bCs/>
                <w:sz w:val="20"/>
                <w:szCs w:val="20"/>
              </w:rPr>
            </w:pPr>
          </w:p>
          <w:p w14:paraId="0859F3AE" w14:textId="6C3DA2C9"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4D4109DC" w14:textId="385E647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Equipo de golpe de ariete (water hammer) controlado desde computador (tipo EGAC o WH-UNIT o equivalente). Cuatro circuitos de ensayo con tuberías de materiales y diámetros distintos: PVC DN 15, 20 mm; cobre DN 15 mm; acero DN 15 mm. Válvulas de cierre rápido (tiempo de cierre &lt; 20 ms) accionadas por solenoide. Sensores de presión dinámica piezoeléctricos: rango 0-20 bar, frecuencia de muestreo ≥ 1000 Hz, precisión ±1% FS. Caudal de operación: 0.1-1 L/s. Software de adquisición con representación gráfica de la onda de presión en tiempo real. Permite cálculo de la velocidad de propagación de la onda y verificación de la ecuación de Joukowski. Banco hidráulico de recirculación incluido.</w:t>
            </w:r>
          </w:p>
        </w:tc>
      </w:tr>
      <w:tr w:rsidR="59BD4447" w14:paraId="63C1A792" w14:textId="77777777" w:rsidTr="3C234025">
        <w:trPr>
          <w:trHeight w:val="8160"/>
        </w:trPr>
        <w:tc>
          <w:tcPr>
            <w:tcW w:w="765" w:type="dxa"/>
          </w:tcPr>
          <w:p w14:paraId="48F29BC1" w14:textId="630FA0CB" w:rsidR="337E1198" w:rsidRDefault="337E1198"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14</w:t>
            </w:r>
          </w:p>
        </w:tc>
        <w:tc>
          <w:tcPr>
            <w:tcW w:w="5735" w:type="dxa"/>
          </w:tcPr>
          <w:p w14:paraId="7B6B3724" w14:textId="037DC6BA" w:rsidR="59BD4447" w:rsidRDefault="5DB3D2C7" w:rsidP="5F54C238">
            <w:r>
              <w:rPr>
                <w:noProof/>
              </w:rPr>
              <w:drawing>
                <wp:inline distT="0" distB="0" distL="0" distR="0" wp14:anchorId="47755A91" wp14:editId="25C7697B">
                  <wp:extent cx="2486025" cy="2905125"/>
                  <wp:effectExtent l="0" t="0" r="0" b="0"/>
                  <wp:docPr id="6115585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558559" name="Picture 611558559"/>
                          <pic:cNvPicPr/>
                        </pic:nvPicPr>
                        <pic:blipFill>
                          <a:blip r:embed="rId109">
                            <a:extLst>
                              <a:ext uri="{28A0092B-C50C-407E-A947-70E740481C1C}">
                                <a14:useLocalDpi xmlns:a14="http://schemas.microsoft.com/office/drawing/2010/main"/>
                              </a:ext>
                            </a:extLst>
                          </a:blip>
                          <a:stretch>
                            <a:fillRect/>
                          </a:stretch>
                        </pic:blipFill>
                        <pic:spPr>
                          <a:xfrm>
                            <a:off x="0" y="0"/>
                            <a:ext cx="2486025" cy="2905125"/>
                          </a:xfrm>
                          <a:prstGeom prst="rect">
                            <a:avLst/>
                          </a:prstGeom>
                        </pic:spPr>
                      </pic:pic>
                    </a:graphicData>
                  </a:graphic>
                </wp:inline>
              </w:drawing>
            </w:r>
          </w:p>
        </w:tc>
        <w:tc>
          <w:tcPr>
            <w:tcW w:w="3250" w:type="dxa"/>
          </w:tcPr>
          <w:p w14:paraId="0171FB02" w14:textId="709A577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p>
          <w:p w14:paraId="640CFDD7" w14:textId="2F86C8F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Banco Hidrostático y Propiedades de Fluidos.</w:t>
            </w:r>
            <w:r w:rsidRPr="3C234025">
              <w:rPr>
                <w:rFonts w:asciiTheme="minorHAnsi" w:eastAsiaTheme="minorEastAsia" w:hAnsiTheme="minorHAnsi" w:cstheme="minorBidi"/>
                <w:sz w:val="20"/>
                <w:szCs w:val="20"/>
              </w:rPr>
              <w:t xml:space="preserve"> </w:t>
            </w:r>
          </w:p>
          <w:p w14:paraId="3C216DF4" w14:textId="3EEA03C9"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análisis de propiedades físicas de los fluidos en condiciones hidrostáticas. </w:t>
            </w:r>
          </w:p>
          <w:p w14:paraId="253983F0" w14:textId="5774374E" w:rsidR="59BD4447" w:rsidRDefault="59BD4447" w:rsidP="3C234025">
            <w:pPr>
              <w:jc w:val="both"/>
              <w:rPr>
                <w:rFonts w:asciiTheme="minorHAnsi" w:eastAsiaTheme="minorEastAsia" w:hAnsiTheme="minorHAnsi" w:cstheme="minorBidi"/>
                <w:b/>
                <w:bCs/>
                <w:sz w:val="20"/>
                <w:szCs w:val="20"/>
              </w:rPr>
            </w:pPr>
          </w:p>
          <w:p w14:paraId="731A2991" w14:textId="6100EF6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02080259" w14:textId="35F8DE21"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Banco hidrostático y de propiedades de fluidos (tipo FME-HYDRO o equivalente). Manómetro diferencial tipo U con escala ±500 mm.c.a. para medición de presión estática. Viscosímetro de tubo capilar de Ostwald: medición de viscosidad dinámica en rango 0.3-10 mPa·s, temperatura controlada entre 15°C y 60°C. Balanza de empuje de Arquímedes: cuerpos de ensayo (acero, aluminio, latón, PMMA), masa hasta 500 g, precisión de pesada ±0.1 g. Placa plana sumergida con pivote para medición del centro de presiones y verificación experimental de la ecuación hidrostática: rango de nivel 0-300 mm sobre el centroide, pesas calibradas 0.5-5 kg incluidas. Depósito transparente de PMMA con escala graduada. Permite determinación de: densidad, viscosidad, peso específico y presión hidrostática.</w:t>
            </w:r>
          </w:p>
        </w:tc>
      </w:tr>
      <w:tr w:rsidR="59BD4447" w14:paraId="3A4DEBCF" w14:textId="77777777" w:rsidTr="3C234025">
        <w:trPr>
          <w:trHeight w:val="300"/>
        </w:trPr>
        <w:tc>
          <w:tcPr>
            <w:tcW w:w="765" w:type="dxa"/>
          </w:tcPr>
          <w:p w14:paraId="4BE9399A" w14:textId="71DD9FE0" w:rsidR="337E1198" w:rsidRDefault="337E1198"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15</w:t>
            </w:r>
          </w:p>
        </w:tc>
        <w:tc>
          <w:tcPr>
            <w:tcW w:w="5735" w:type="dxa"/>
          </w:tcPr>
          <w:p w14:paraId="690A5830" w14:textId="280A33AB" w:rsidR="59BD4447" w:rsidRDefault="0F8A8A42" w:rsidP="5F54C238">
            <w:r>
              <w:rPr>
                <w:noProof/>
              </w:rPr>
              <w:drawing>
                <wp:inline distT="0" distB="0" distL="0" distR="0" wp14:anchorId="33C52738" wp14:editId="0BF50AE8">
                  <wp:extent cx="3495675" cy="2324100"/>
                  <wp:effectExtent l="0" t="0" r="0" b="0"/>
                  <wp:docPr id="12620389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038934" name="Picture 1262038934"/>
                          <pic:cNvPicPr/>
                        </pic:nvPicPr>
                        <pic:blipFill>
                          <a:blip r:embed="rId110">
                            <a:extLst>
                              <a:ext uri="{28A0092B-C50C-407E-A947-70E740481C1C}">
                                <a14:useLocalDpi xmlns:a14="http://schemas.microsoft.com/office/drawing/2010/main"/>
                              </a:ext>
                            </a:extLst>
                          </a:blip>
                          <a:stretch>
                            <a:fillRect/>
                          </a:stretch>
                        </pic:blipFill>
                        <pic:spPr>
                          <a:xfrm>
                            <a:off x="0" y="0"/>
                            <a:ext cx="3495675" cy="2324100"/>
                          </a:xfrm>
                          <a:prstGeom prst="rect">
                            <a:avLst/>
                          </a:prstGeom>
                        </pic:spPr>
                      </pic:pic>
                    </a:graphicData>
                  </a:graphic>
                </wp:inline>
              </w:drawing>
            </w:r>
          </w:p>
        </w:tc>
        <w:tc>
          <w:tcPr>
            <w:tcW w:w="3250" w:type="dxa"/>
          </w:tcPr>
          <w:p w14:paraId="276F5ADF" w14:textId="1496334F" w:rsidR="59BD4447" w:rsidRDefault="59BD4447" w:rsidP="68D41FDE">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2759ED06" w14:textId="5BDD9D8F"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Demostración de Medidores de Caudal.</w:t>
            </w:r>
            <w:r w:rsidRPr="3C234025">
              <w:rPr>
                <w:rFonts w:asciiTheme="minorHAnsi" w:eastAsiaTheme="minorEastAsia" w:hAnsiTheme="minorHAnsi" w:cstheme="minorBidi"/>
                <w:sz w:val="20"/>
                <w:szCs w:val="20"/>
              </w:rPr>
              <w:t xml:space="preserve"> </w:t>
            </w:r>
          </w:p>
          <w:p w14:paraId="5F572C26" w14:textId="68A4A4C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estudio de diferentes métodos de medición de caudal. </w:t>
            </w:r>
          </w:p>
          <w:p w14:paraId="00681745" w14:textId="2DBA58F9" w:rsidR="59BD4447" w:rsidRDefault="59BD4447" w:rsidP="3C234025">
            <w:pPr>
              <w:jc w:val="both"/>
              <w:rPr>
                <w:rFonts w:asciiTheme="minorHAnsi" w:eastAsiaTheme="minorEastAsia" w:hAnsiTheme="minorHAnsi" w:cstheme="minorBidi"/>
                <w:b/>
                <w:bCs/>
                <w:sz w:val="20"/>
                <w:szCs w:val="20"/>
              </w:rPr>
            </w:pPr>
          </w:p>
          <w:p w14:paraId="2F96992B" w14:textId="33E00CA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00A94F62" w14:textId="48AF4FB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Banco de demostración de medidores de caudal (tipo FME-FLOW o equivalente). Circuito hidráulico con 4-5 tipos de medidores en paralelo: rotámetro (rango 0.1-10 L/min, precisión ±2% FS), tubo venturi DN 15 con tomas de presión y manómetro diferencial, placa de orificio intercambiable (β = 0.5-0.7), medidor de turbina (pulsos, rango 1-30 L/min, precisión ±1%), referencia volumétrica: depósito graduado y cronómetro de precisión ±0.1 s. Bomba de recirculación ≥ 200 W con variador de velocidad. Transductores de presión diferencial para venturi y orificio (0-50 kPa). Permite comparación directa de precisión, rango y pérdida de presión de cada medidor.</w:t>
            </w:r>
          </w:p>
        </w:tc>
      </w:tr>
      <w:tr w:rsidR="59BD4447" w14:paraId="7A16A257" w14:textId="77777777" w:rsidTr="3C234025">
        <w:trPr>
          <w:trHeight w:val="300"/>
        </w:trPr>
        <w:tc>
          <w:tcPr>
            <w:tcW w:w="765" w:type="dxa"/>
          </w:tcPr>
          <w:p w14:paraId="4C87705F" w14:textId="638B3B12" w:rsidR="0CD2A1D2" w:rsidRDefault="0CD2A1D2"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16</w:t>
            </w:r>
          </w:p>
        </w:tc>
        <w:tc>
          <w:tcPr>
            <w:tcW w:w="5735" w:type="dxa"/>
          </w:tcPr>
          <w:p w14:paraId="5FB8CEF0" w14:textId="7E8F6ED7" w:rsidR="59BD4447" w:rsidRDefault="387787A6" w:rsidP="5F54C238">
            <w:r>
              <w:rPr>
                <w:noProof/>
              </w:rPr>
              <w:drawing>
                <wp:inline distT="0" distB="0" distL="0" distR="0" wp14:anchorId="6FFE0330" wp14:editId="31B5D94E">
                  <wp:extent cx="3495675" cy="2819400"/>
                  <wp:effectExtent l="0" t="0" r="0" b="0"/>
                  <wp:docPr id="6763092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09251" name="Picture 676309251"/>
                          <pic:cNvPicPr/>
                        </pic:nvPicPr>
                        <pic:blipFill>
                          <a:blip r:embed="rId111">
                            <a:extLst>
                              <a:ext uri="{28A0092B-C50C-407E-A947-70E740481C1C}">
                                <a14:useLocalDpi xmlns:a14="http://schemas.microsoft.com/office/drawing/2010/main"/>
                              </a:ext>
                            </a:extLst>
                          </a:blip>
                          <a:stretch>
                            <a:fillRect/>
                          </a:stretch>
                        </pic:blipFill>
                        <pic:spPr>
                          <a:xfrm>
                            <a:off x="0" y="0"/>
                            <a:ext cx="3495675" cy="2819400"/>
                          </a:xfrm>
                          <a:prstGeom prst="rect">
                            <a:avLst/>
                          </a:prstGeom>
                        </pic:spPr>
                      </pic:pic>
                    </a:graphicData>
                  </a:graphic>
                </wp:inline>
              </w:drawing>
            </w:r>
          </w:p>
        </w:tc>
        <w:tc>
          <w:tcPr>
            <w:tcW w:w="3250" w:type="dxa"/>
          </w:tcPr>
          <w:p w14:paraId="6428821D" w14:textId="3453B934" w:rsidR="59BD4447" w:rsidRDefault="59BD4447" w:rsidP="68D41FDE">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6EDDDBC8" w14:textId="2D8BF413"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Equipo de Medición de Presión.</w:t>
            </w:r>
            <w:r w:rsidRPr="3C234025">
              <w:rPr>
                <w:rFonts w:asciiTheme="minorHAnsi" w:eastAsiaTheme="minorEastAsia" w:hAnsiTheme="minorHAnsi" w:cstheme="minorBidi"/>
                <w:sz w:val="20"/>
                <w:szCs w:val="20"/>
              </w:rPr>
              <w:t xml:space="preserve"> </w:t>
            </w:r>
          </w:p>
          <w:p w14:paraId="0ABA202D" w14:textId="5840CED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estudio de técnicas de medición de presión en sistemas hidráulicos. </w:t>
            </w:r>
          </w:p>
          <w:p w14:paraId="59EE76FE" w14:textId="1EC1BE94" w:rsidR="59BD4447" w:rsidRDefault="59BD4447" w:rsidP="3C234025">
            <w:pPr>
              <w:jc w:val="both"/>
              <w:rPr>
                <w:rFonts w:asciiTheme="minorHAnsi" w:eastAsiaTheme="minorEastAsia" w:hAnsiTheme="minorHAnsi" w:cstheme="minorBidi"/>
                <w:b/>
                <w:bCs/>
                <w:sz w:val="20"/>
                <w:szCs w:val="20"/>
              </w:rPr>
            </w:pPr>
          </w:p>
          <w:p w14:paraId="42C71A88" w14:textId="350153AD"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5038D5B4" w14:textId="6806037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Equipo de medición de presión para sistemas hidráulicos (tipo FME-PRESS o equivalente). Manómetro de tubo de Bourdon: rango 0-10 bar, clase de precisión 1.0 (±0.1 bar), esfera 100 mm, conexión 1/4" BSP. Manómetro diferencial de columna líquida (U invertida): rango 0-1000 mm.c.a., fluido de manometría agua o mercurio. Transductor de presión piezorresistivo digital: rango -1 a +10 bar relativo, precisión ±0.5% FS, salida 4-20 mA + display LCD. Manómetro de vacío Bourdon: rango -1 a +3 bar. Calibrador de presión manual tipo pistón (dead-weight tester): rango 0.1-10 bar, incertidumbre ±0.02% FS. Permite calibración cruzada entre instrumentos y cálculo de incertidumbre de medida.</w:t>
            </w:r>
          </w:p>
        </w:tc>
      </w:tr>
      <w:tr w:rsidR="59BD4447" w14:paraId="0E6A515C" w14:textId="77777777" w:rsidTr="3C234025">
        <w:trPr>
          <w:trHeight w:val="300"/>
        </w:trPr>
        <w:tc>
          <w:tcPr>
            <w:tcW w:w="765" w:type="dxa"/>
          </w:tcPr>
          <w:p w14:paraId="056A19F7" w14:textId="54170CB0" w:rsidR="1FA22BE9" w:rsidRDefault="1FA22BE9"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17</w:t>
            </w:r>
          </w:p>
        </w:tc>
        <w:tc>
          <w:tcPr>
            <w:tcW w:w="5735" w:type="dxa"/>
          </w:tcPr>
          <w:p w14:paraId="6B845F43" w14:textId="198EAFE4" w:rsidR="59BD4447" w:rsidRDefault="12B38EBF" w:rsidP="5F54C238">
            <w:r>
              <w:rPr>
                <w:noProof/>
              </w:rPr>
              <w:drawing>
                <wp:inline distT="0" distB="0" distL="0" distR="0" wp14:anchorId="14141358" wp14:editId="3980A5D8">
                  <wp:extent cx="2743200" cy="2905125"/>
                  <wp:effectExtent l="0" t="0" r="0" b="0"/>
                  <wp:docPr id="10711133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113374" name="Picture 1071113374"/>
                          <pic:cNvPicPr/>
                        </pic:nvPicPr>
                        <pic:blipFill>
                          <a:blip r:embed="rId112">
                            <a:extLst>
                              <a:ext uri="{28A0092B-C50C-407E-A947-70E740481C1C}">
                                <a14:useLocalDpi xmlns:a14="http://schemas.microsoft.com/office/drawing/2010/main"/>
                              </a:ext>
                            </a:extLst>
                          </a:blip>
                          <a:stretch>
                            <a:fillRect/>
                          </a:stretch>
                        </pic:blipFill>
                        <pic:spPr>
                          <a:xfrm>
                            <a:off x="0" y="0"/>
                            <a:ext cx="2743200" cy="2905125"/>
                          </a:xfrm>
                          <a:prstGeom prst="rect">
                            <a:avLst/>
                          </a:prstGeom>
                        </pic:spPr>
                      </pic:pic>
                    </a:graphicData>
                  </a:graphic>
                </wp:inline>
              </w:drawing>
            </w:r>
          </w:p>
        </w:tc>
        <w:tc>
          <w:tcPr>
            <w:tcW w:w="3250" w:type="dxa"/>
          </w:tcPr>
          <w:p w14:paraId="50E629E6" w14:textId="3163B07E" w:rsidR="59BD4447" w:rsidRDefault="59BD4447" w:rsidP="68D41FDE">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6A865F2F" w14:textId="165F2955"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Impacto de Chorro sobre Superficies.</w:t>
            </w:r>
            <w:r w:rsidRPr="3C234025">
              <w:rPr>
                <w:rFonts w:asciiTheme="minorHAnsi" w:eastAsiaTheme="minorEastAsia" w:hAnsiTheme="minorHAnsi" w:cstheme="minorBidi"/>
                <w:sz w:val="20"/>
                <w:szCs w:val="20"/>
              </w:rPr>
              <w:t xml:space="preserve"> </w:t>
            </w:r>
          </w:p>
          <w:p w14:paraId="7A1DB6AC" w14:textId="1C7E021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análisis del comportamiento de chorros de fluido sobre diferentes superficies. </w:t>
            </w:r>
          </w:p>
          <w:p w14:paraId="0B0D4090" w14:textId="68F78DC9" w:rsidR="59BD4447" w:rsidRDefault="59BD4447" w:rsidP="3C234025">
            <w:pPr>
              <w:jc w:val="both"/>
              <w:rPr>
                <w:rFonts w:asciiTheme="minorHAnsi" w:eastAsiaTheme="minorEastAsia" w:hAnsiTheme="minorHAnsi" w:cstheme="minorBidi"/>
                <w:b/>
                <w:bCs/>
                <w:sz w:val="20"/>
                <w:szCs w:val="20"/>
              </w:rPr>
            </w:pPr>
          </w:p>
          <w:p w14:paraId="7FEDF082" w14:textId="32A6E1FC"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p>
          <w:p w14:paraId="64312DCD" w14:textId="4F6C3AD0"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Equipo de impacto de chorro sobre superficies (tipo FME-JET o equivalente). Boquilla circular ajustable: diámetros 5, 8, 12 mm intercambiables. Superficies de impacto intercambiables: placa plana, semiesfera cóncava, cono 120°. Caudal medible: 0.1-1 L/s (caudalímetro volumétrico de referencia). Balanza de medición de fuerza de impacto: rango 0-50 N, resolución 0.1 N, sistema de pesas y barra basculante. Presión de trabajo: 1-4 bar (bomba de recirculación ≥ 300 W incluida). Permite verificación experimental de la ecuación de cantidad de movimiento: F = ρQ(V₂cos θ - V₁).</w:t>
            </w:r>
          </w:p>
        </w:tc>
      </w:tr>
      <w:tr w:rsidR="59BD4447" w14:paraId="6E376CC4" w14:textId="77777777" w:rsidTr="3C234025">
        <w:trPr>
          <w:trHeight w:val="300"/>
        </w:trPr>
        <w:tc>
          <w:tcPr>
            <w:tcW w:w="765" w:type="dxa"/>
          </w:tcPr>
          <w:p w14:paraId="22A92ADE" w14:textId="111DC113" w:rsidR="60B6784D" w:rsidRDefault="60B6784D" w:rsidP="62C29527">
            <w:pPr>
              <w:rPr>
                <w:rFonts w:asciiTheme="minorHAnsi" w:eastAsiaTheme="minorEastAsia" w:hAnsiTheme="minorHAnsi" w:cstheme="minorBidi"/>
                <w:sz w:val="20"/>
                <w:szCs w:val="20"/>
              </w:rPr>
            </w:pPr>
            <w:r w:rsidRPr="62C29527">
              <w:rPr>
                <w:rFonts w:asciiTheme="minorHAnsi" w:eastAsiaTheme="minorEastAsia" w:hAnsiTheme="minorHAnsi" w:cstheme="minorBidi"/>
                <w:sz w:val="20"/>
                <w:szCs w:val="20"/>
              </w:rPr>
              <w:t>18</w:t>
            </w:r>
          </w:p>
        </w:tc>
        <w:tc>
          <w:tcPr>
            <w:tcW w:w="5735" w:type="dxa"/>
          </w:tcPr>
          <w:p w14:paraId="33977799" w14:textId="64DA12BA" w:rsidR="59BD4447" w:rsidRDefault="50984F67" w:rsidP="5F54C238">
            <w:r>
              <w:rPr>
                <w:noProof/>
              </w:rPr>
              <w:drawing>
                <wp:inline distT="0" distB="0" distL="0" distR="0" wp14:anchorId="25C8EF5F" wp14:editId="7F46EFF0">
                  <wp:extent cx="3495675" cy="2676525"/>
                  <wp:effectExtent l="0" t="0" r="0" b="0"/>
                  <wp:docPr id="1747334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33492" name="Picture 174733492"/>
                          <pic:cNvPicPr/>
                        </pic:nvPicPr>
                        <pic:blipFill>
                          <a:blip r:embed="rId113">
                            <a:extLst>
                              <a:ext uri="{28A0092B-C50C-407E-A947-70E740481C1C}">
                                <a14:useLocalDpi xmlns:a14="http://schemas.microsoft.com/office/drawing/2010/main"/>
                              </a:ext>
                            </a:extLst>
                          </a:blip>
                          <a:stretch>
                            <a:fillRect/>
                          </a:stretch>
                        </pic:blipFill>
                        <pic:spPr>
                          <a:xfrm>
                            <a:off x="0" y="0"/>
                            <a:ext cx="3495675" cy="2676525"/>
                          </a:xfrm>
                          <a:prstGeom prst="rect">
                            <a:avLst/>
                          </a:prstGeom>
                        </pic:spPr>
                      </pic:pic>
                    </a:graphicData>
                  </a:graphic>
                </wp:inline>
              </w:drawing>
            </w:r>
          </w:p>
        </w:tc>
        <w:tc>
          <w:tcPr>
            <w:tcW w:w="3250" w:type="dxa"/>
          </w:tcPr>
          <w:p w14:paraId="567D5EC0" w14:textId="0EE00213" w:rsidR="59BD4447" w:rsidRDefault="59BD4447" w:rsidP="68D41FDE">
            <w:pPr>
              <w:rPr>
                <w:rFonts w:asciiTheme="minorHAnsi" w:eastAsiaTheme="minorEastAsia" w:hAnsiTheme="minorHAnsi" w:cstheme="minorBidi"/>
                <w:sz w:val="20"/>
                <w:szCs w:val="20"/>
              </w:rPr>
            </w:pPr>
            <w:r>
              <w:rPr>
                <w:rFonts w:asciiTheme="minorHAnsi" w:eastAsiaTheme="minorEastAsia" w:hAnsiTheme="minorHAnsi" w:cstheme="minorBidi"/>
                <w:b/>
                <w:bCs/>
                <w:sz w:val="20"/>
                <w:szCs w:val="20"/>
              </w:rPr>
              <w:t>Necesidad</w:t>
            </w:r>
            <w:r>
              <w:rPr>
                <w:rFonts w:asciiTheme="minorHAnsi" w:eastAsiaTheme="minorEastAsia" w:hAnsiTheme="minorHAnsi" w:cstheme="minorBidi"/>
                <w:sz w:val="20"/>
                <w:szCs w:val="20"/>
              </w:rPr>
              <w:t xml:space="preserve"> </w:t>
            </w:r>
          </w:p>
          <w:p w14:paraId="6FE4A4BA" w14:textId="1B240168"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Presión sobre Superficies.</w:t>
            </w:r>
            <w:r w:rsidRPr="3C234025">
              <w:rPr>
                <w:rFonts w:asciiTheme="minorHAnsi" w:eastAsiaTheme="minorEastAsia" w:hAnsiTheme="minorHAnsi" w:cstheme="minorBidi"/>
                <w:sz w:val="20"/>
                <w:szCs w:val="20"/>
              </w:rPr>
              <w:t xml:space="preserve"> </w:t>
            </w:r>
          </w:p>
          <w:p w14:paraId="5A32788A" w14:textId="6F20FBA6"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Permitir el estudio del centro de presiones en superficies sumergidas. </w:t>
            </w:r>
          </w:p>
          <w:p w14:paraId="14CB6E43" w14:textId="1BDD133E" w:rsidR="59BD4447" w:rsidRDefault="59BD4447" w:rsidP="3C234025">
            <w:pPr>
              <w:jc w:val="both"/>
              <w:rPr>
                <w:rFonts w:asciiTheme="minorHAnsi" w:eastAsiaTheme="minorEastAsia" w:hAnsiTheme="minorHAnsi" w:cstheme="minorBidi"/>
                <w:b/>
                <w:bCs/>
                <w:sz w:val="20"/>
                <w:szCs w:val="20"/>
              </w:rPr>
            </w:pPr>
          </w:p>
          <w:p w14:paraId="1E400CB7" w14:textId="21244C27"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52443EB6" w14:textId="70D34FD2" w:rsidR="59BD4447" w:rsidRDefault="1141884C"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 Equipo de presión sobre superficies sumergidas (tipo FME-SURFP o equivalente). Placa cuadrangular sumergida (aprox. 75 × 75 mm) pivotada para medición de momento. Depósito transparente de PMMA con escala graduada. Rango de nivel de agua sobre la placa: 0-300 mm. Sistema de pesas calibradas (0.5-5 kg en escalones de 0.5 kg) para equilibrado de momentos. Permite determinación experimental del centro de presiones y comparación con solución teórica (Ycp = Yg + Ig / (Yg·A)). Precisión de medición de posición: ±1 mm.</w:t>
            </w:r>
          </w:p>
        </w:tc>
      </w:tr>
      <w:tr w:rsidR="5C4E3398" w14:paraId="63DFB307" w14:textId="77777777" w:rsidTr="3C234025">
        <w:trPr>
          <w:trHeight w:val="300"/>
        </w:trPr>
        <w:tc>
          <w:tcPr>
            <w:tcW w:w="765" w:type="dxa"/>
          </w:tcPr>
          <w:p w14:paraId="7F0FA052" w14:textId="4585C953" w:rsidR="2B97CD51" w:rsidRDefault="2B97CD51" w:rsidP="5C4E3398">
            <w:pPr>
              <w:rPr>
                <w:rFonts w:asciiTheme="minorHAnsi" w:eastAsiaTheme="minorEastAsia" w:hAnsiTheme="minorHAnsi" w:cstheme="minorBidi"/>
                <w:sz w:val="20"/>
                <w:szCs w:val="20"/>
              </w:rPr>
            </w:pPr>
            <w:r w:rsidRPr="5C4E3398">
              <w:rPr>
                <w:rFonts w:asciiTheme="minorHAnsi" w:eastAsiaTheme="minorEastAsia" w:hAnsiTheme="minorHAnsi" w:cstheme="minorBidi"/>
                <w:sz w:val="20"/>
                <w:szCs w:val="20"/>
              </w:rPr>
              <w:t>19</w:t>
            </w:r>
          </w:p>
        </w:tc>
        <w:tc>
          <w:tcPr>
            <w:tcW w:w="5735" w:type="dxa"/>
          </w:tcPr>
          <w:p w14:paraId="4E345190" w14:textId="2F1304E3" w:rsidR="5C4E3398" w:rsidRDefault="5C4E3398">
            <w:r>
              <w:rPr>
                <w:noProof/>
              </w:rPr>
              <w:drawing>
                <wp:inline distT="0" distB="0" distL="0" distR="0" wp14:anchorId="7ECD584A" wp14:editId="03540550">
                  <wp:extent cx="3390900" cy="2609850"/>
                  <wp:effectExtent l="0" t="0" r="0" b="0"/>
                  <wp:docPr id="305846962" name="drawing" descr="Laptop PNG Transparent Images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14616" name="Picture 1740514616"/>
                          <pic:cNvPicPr/>
                        </pic:nvPicPr>
                        <pic:blipFill>
                          <a:blip r:embed="rId37">
                            <a:extLst>
                              <a:ext uri="{28A0092B-C50C-407E-A947-70E740481C1C}">
                                <a14:useLocalDpi xmlns:a14="http://schemas.microsoft.com/office/drawing/2010/main"/>
                              </a:ext>
                            </a:extLst>
                          </a:blip>
                          <a:stretch>
                            <a:fillRect/>
                          </a:stretch>
                        </pic:blipFill>
                        <pic:spPr>
                          <a:xfrm>
                            <a:off x="0" y="0"/>
                            <a:ext cx="3390900" cy="2609850"/>
                          </a:xfrm>
                          <a:prstGeom prst="rect">
                            <a:avLst/>
                          </a:prstGeom>
                        </pic:spPr>
                      </pic:pic>
                    </a:graphicData>
                  </a:graphic>
                </wp:inline>
              </w:drawing>
            </w:r>
          </w:p>
        </w:tc>
        <w:tc>
          <w:tcPr>
            <w:tcW w:w="3250" w:type="dxa"/>
          </w:tcPr>
          <w:p w14:paraId="086603AF" w14:textId="39C6B9FA" w:rsidR="5C4E3398" w:rsidRDefault="31997B0B"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r w:rsidR="5C4E3398">
              <w:br/>
            </w:r>
            <w:r w:rsidRPr="3C234025">
              <w:rPr>
                <w:rFonts w:asciiTheme="minorHAnsi" w:eastAsiaTheme="minorEastAsia" w:hAnsiTheme="minorHAnsi" w:cstheme="minorBidi"/>
                <w:b/>
                <w:bCs/>
                <w:sz w:val="20"/>
                <w:szCs w:val="20"/>
              </w:rPr>
              <w:t>Computadores portátiles.</w:t>
            </w:r>
            <w:r w:rsidRPr="3C234025">
              <w:rPr>
                <w:rFonts w:asciiTheme="minorHAnsi" w:eastAsiaTheme="minorEastAsia" w:hAnsiTheme="minorHAnsi" w:cstheme="minorBidi"/>
                <w:sz w:val="20"/>
                <w:szCs w:val="20"/>
              </w:rPr>
              <w:t xml:space="preserve"> Permitir control y monitoreo de sistemas didácticos. </w:t>
            </w:r>
            <w:r w:rsidR="5C4E3398">
              <w:br/>
            </w:r>
            <w:r w:rsidR="5C4E3398">
              <w:br/>
            </w: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r w:rsidR="5C4E3398">
              <w:br/>
            </w:r>
            <w:r w:rsidRPr="3C234025">
              <w:rPr>
                <w:rFonts w:asciiTheme="minorHAnsi" w:eastAsiaTheme="minorEastAsia" w:hAnsiTheme="minorHAnsi" w:cstheme="minorBidi"/>
                <w:sz w:val="20"/>
                <w:szCs w:val="20"/>
              </w:rPr>
              <w:t>Computadores portátiles para control y monitoreo del laboratorio eólico. Procesador equivalente Intel Core i5 de 11a generación o superior (≥ 2.4 GHz). Memoria RAM: ≥ 8 GB DDR4. Almacenamiento SSD: ≥ 256 GB. Pantalla: ≥ 14 pulgadas, resolución Full HD (1920×1080). Sistema operativo: Windows 10/11 Pro. Puertos: USB 3.0 ≥ 3 unidades, USB-C/Thunderbolt, HDMI. Tarjeta de red WiFi 802.11ac y Ethernet Gigabit. Compatible con software SCADA y LabVIEW. Batería: autonomía ≥ 6 horas.</w:t>
            </w:r>
          </w:p>
        </w:tc>
      </w:tr>
    </w:tbl>
    <w:p w14:paraId="70F40AE2" w14:textId="1FEF45CA" w:rsidR="59BD4447" w:rsidRDefault="59BD4447" w:rsidP="59BD4447">
      <w:pPr>
        <w:rPr>
          <w:rFonts w:asciiTheme="minorHAnsi" w:eastAsiaTheme="minorEastAsia" w:hAnsiTheme="minorHAnsi" w:cstheme="minorBidi"/>
          <w:sz w:val="20"/>
          <w:szCs w:val="20"/>
        </w:rPr>
      </w:pPr>
    </w:p>
    <w:p w14:paraId="16C23A8F" w14:textId="006CAA70" w:rsidR="5DC5EDA9" w:rsidRDefault="69CF715A" w:rsidP="4FD9DD9D">
      <w:pPr>
        <w:jc w:val="both"/>
        <w:rPr>
          <w:rFonts w:asciiTheme="minorHAnsi" w:eastAsiaTheme="minorEastAsia" w:hAnsiTheme="minorHAnsi" w:cstheme="minorBidi"/>
          <w:sz w:val="20"/>
          <w:szCs w:val="20"/>
        </w:rPr>
      </w:pPr>
      <w:r w:rsidRPr="62C29527">
        <w:rPr>
          <w:rFonts w:asciiTheme="minorHAnsi" w:eastAsiaTheme="minorEastAsia" w:hAnsiTheme="minorHAnsi" w:cstheme="minorBidi"/>
          <w:b/>
          <w:bCs/>
          <w:sz w:val="20"/>
          <w:szCs w:val="20"/>
        </w:rPr>
        <w:t xml:space="preserve">Nota: </w:t>
      </w:r>
      <w:r w:rsidRPr="62C29527">
        <w:rPr>
          <w:rFonts w:asciiTheme="minorHAnsi" w:eastAsiaTheme="minorEastAsia" w:hAnsiTheme="minorHAnsi" w:cstheme="minorBidi"/>
          <w:sz w:val="20"/>
          <w:szCs w:val="20"/>
        </w:rPr>
        <w:t>Las imágenes de la tabla son de referencia.</w:t>
      </w:r>
    </w:p>
    <w:p w14:paraId="1CD11566" w14:textId="1D5A35F2" w:rsidR="62C29527" w:rsidRDefault="62C29527" w:rsidP="62C29527">
      <w:pPr>
        <w:rPr>
          <w:rFonts w:asciiTheme="minorHAnsi" w:eastAsiaTheme="minorEastAsia" w:hAnsiTheme="minorHAnsi" w:cstheme="minorBidi"/>
          <w:sz w:val="20"/>
          <w:szCs w:val="20"/>
        </w:rPr>
      </w:pPr>
    </w:p>
    <w:p w14:paraId="4CC21D3B" w14:textId="6E12159F" w:rsidR="10DC4488" w:rsidRDefault="10DC4488" w:rsidP="58623CB7">
      <w:pPr>
        <w:jc w:val="both"/>
        <w:rPr>
          <w:rFonts w:asciiTheme="minorHAnsi" w:eastAsiaTheme="minorEastAsia" w:hAnsiTheme="minorHAnsi" w:cstheme="minorBidi"/>
          <w:b/>
          <w:bCs/>
          <w:sz w:val="20"/>
          <w:szCs w:val="20"/>
        </w:rPr>
      </w:pPr>
      <w:r w:rsidRPr="58623CB7">
        <w:rPr>
          <w:rFonts w:asciiTheme="minorHAnsi" w:eastAsiaTheme="minorEastAsia" w:hAnsiTheme="minorHAnsi" w:cstheme="minorBidi"/>
          <w:b/>
          <w:bCs/>
          <w:sz w:val="20"/>
          <w:szCs w:val="20"/>
          <w:lang w:val="es-CO"/>
        </w:rPr>
        <w:t>Laboratorio de energía de biomasa:</w:t>
      </w:r>
    </w:p>
    <w:p w14:paraId="53E4BC18" w14:textId="2AEBA267" w:rsidR="58623CB7" w:rsidRDefault="58623CB7" w:rsidP="58623CB7">
      <w:pPr>
        <w:jc w:val="both"/>
        <w:rPr>
          <w:rFonts w:asciiTheme="minorHAnsi" w:eastAsiaTheme="minorEastAsia" w:hAnsiTheme="minorHAnsi" w:cstheme="minorBidi"/>
          <w:sz w:val="20"/>
          <w:szCs w:val="20"/>
        </w:rPr>
      </w:pPr>
    </w:p>
    <w:p w14:paraId="4B241C4B" w14:textId="5FD9F5DC" w:rsidR="10DC4488" w:rsidRDefault="10DC4488" w:rsidP="58623CB7">
      <w:pPr>
        <w:jc w:val="both"/>
        <w:rPr>
          <w:rFonts w:asciiTheme="minorHAnsi" w:eastAsiaTheme="minorEastAsia" w:hAnsiTheme="minorHAnsi" w:cstheme="minorBidi"/>
          <w:sz w:val="20"/>
          <w:szCs w:val="20"/>
          <w:lang w:val="es-CO"/>
        </w:rPr>
      </w:pPr>
      <w:r w:rsidRPr="58623CB7">
        <w:rPr>
          <w:rFonts w:asciiTheme="minorHAnsi" w:eastAsiaTheme="minorEastAsia" w:hAnsiTheme="minorHAnsi" w:cstheme="minorBidi"/>
          <w:sz w:val="20"/>
          <w:szCs w:val="20"/>
          <w:lang w:val="es-CO"/>
        </w:rPr>
        <w:t>Se propone un laboratorio de energía de biomasa con los siguientes equipos y características:</w:t>
      </w:r>
    </w:p>
    <w:p w14:paraId="027DAE73" w14:textId="672B256F" w:rsidR="58623CB7" w:rsidRDefault="58623CB7" w:rsidP="58623CB7">
      <w:pPr>
        <w:rPr>
          <w:rFonts w:asciiTheme="minorHAnsi" w:eastAsiaTheme="minorEastAsia" w:hAnsiTheme="minorHAnsi" w:cstheme="minorBidi"/>
          <w:sz w:val="20"/>
          <w:szCs w:val="20"/>
          <w:lang w:val="es-CO"/>
        </w:rPr>
      </w:pPr>
    </w:p>
    <w:p w14:paraId="3028754D" w14:textId="29993573" w:rsidR="10DC4488" w:rsidRDefault="10DC4488" w:rsidP="3C234025">
      <w:pPr>
        <w:jc w:val="center"/>
        <w:rPr>
          <w:rFonts w:asciiTheme="minorHAnsi" w:eastAsiaTheme="minorEastAsia" w:hAnsiTheme="minorHAnsi" w:cstheme="minorBidi"/>
          <w:sz w:val="20"/>
          <w:szCs w:val="20"/>
          <w:lang w:val="es-CO"/>
        </w:rPr>
      </w:pPr>
      <w:r w:rsidRPr="3C234025">
        <w:rPr>
          <w:rFonts w:asciiTheme="minorHAnsi" w:eastAsiaTheme="minorEastAsia" w:hAnsiTheme="minorHAnsi" w:cstheme="minorBidi"/>
          <w:i/>
          <w:iCs/>
          <w:sz w:val="20"/>
          <w:szCs w:val="20"/>
          <w:lang w:val="es-CO"/>
        </w:rPr>
        <w:t xml:space="preserve">Tabla </w:t>
      </w:r>
      <w:r w:rsidRPr="3C234025">
        <w:rPr>
          <w:rFonts w:asciiTheme="minorHAnsi" w:eastAsiaTheme="minorEastAsia" w:hAnsiTheme="minorHAnsi" w:cstheme="minorBidi"/>
          <w:i/>
          <w:iCs/>
          <w:sz w:val="20"/>
          <w:szCs w:val="20"/>
          <w:lang w:val="es-CO"/>
        </w:rPr>
        <w:fldChar w:fldCharType="begin"/>
      </w:r>
      <w:r w:rsidRPr="3C234025">
        <w:rPr>
          <w:rFonts w:asciiTheme="minorHAnsi" w:eastAsiaTheme="minorEastAsia" w:hAnsiTheme="minorHAnsi" w:cstheme="minorBidi"/>
          <w:i/>
          <w:iCs/>
          <w:sz w:val="20"/>
          <w:szCs w:val="20"/>
          <w:lang w:val="es-CO"/>
        </w:rPr>
        <w:instrText xml:space="preserve"> SEQ Tabla \* ARABIC </w:instrText>
      </w:r>
      <w:r w:rsidRPr="3C234025">
        <w:rPr>
          <w:rFonts w:asciiTheme="minorHAnsi" w:eastAsiaTheme="minorEastAsia" w:hAnsiTheme="minorHAnsi" w:cstheme="minorBidi"/>
          <w:i/>
          <w:iCs/>
          <w:sz w:val="20"/>
          <w:szCs w:val="20"/>
          <w:lang w:val="es-CO"/>
        </w:rPr>
        <w:fldChar w:fldCharType="separate"/>
      </w:r>
      <w:r w:rsidR="5E6F3627" w:rsidRPr="3C234025">
        <w:rPr>
          <w:rFonts w:asciiTheme="minorHAnsi" w:eastAsiaTheme="minorEastAsia" w:hAnsiTheme="minorHAnsi" w:cstheme="minorBidi"/>
          <w:i/>
          <w:iCs/>
          <w:sz w:val="20"/>
          <w:szCs w:val="20"/>
          <w:lang w:val="es-CO"/>
        </w:rPr>
        <w:t>5</w:t>
      </w:r>
      <w:r w:rsidRPr="3C234025">
        <w:rPr>
          <w:rFonts w:asciiTheme="minorHAnsi" w:eastAsiaTheme="minorEastAsia" w:hAnsiTheme="minorHAnsi" w:cstheme="minorBidi"/>
          <w:i/>
          <w:iCs/>
          <w:sz w:val="20"/>
          <w:szCs w:val="20"/>
          <w:lang w:val="es-CO"/>
        </w:rPr>
        <w:fldChar w:fldCharType="end"/>
      </w:r>
      <w:r w:rsidRPr="3C234025">
        <w:rPr>
          <w:rFonts w:asciiTheme="minorHAnsi" w:eastAsiaTheme="minorEastAsia" w:hAnsiTheme="minorHAnsi" w:cstheme="minorBidi"/>
          <w:i/>
          <w:iCs/>
          <w:sz w:val="20"/>
          <w:szCs w:val="20"/>
          <w:lang w:val="es-CO"/>
        </w:rPr>
        <w:t>.</w:t>
      </w:r>
      <w:r w:rsidRPr="3C234025">
        <w:rPr>
          <w:rFonts w:asciiTheme="minorHAnsi" w:eastAsiaTheme="minorEastAsia" w:hAnsiTheme="minorHAnsi" w:cstheme="minorBidi"/>
          <w:sz w:val="20"/>
          <w:szCs w:val="20"/>
          <w:lang w:val="es-CO"/>
        </w:rPr>
        <w:t xml:space="preserve"> Laboratorio energía de biomasa</w:t>
      </w:r>
    </w:p>
    <w:tbl>
      <w:tblPr>
        <w:tblStyle w:val="Tablaconcuadrcula"/>
        <w:tblW w:w="0" w:type="auto"/>
        <w:tblLook w:val="06A0" w:firstRow="1" w:lastRow="0" w:firstColumn="1" w:lastColumn="0" w:noHBand="1" w:noVBand="1"/>
      </w:tblPr>
      <w:tblGrid>
        <w:gridCol w:w="615"/>
        <w:gridCol w:w="5884"/>
        <w:gridCol w:w="3248"/>
      </w:tblGrid>
      <w:tr w:rsidR="58623CB7" w14:paraId="47F06792" w14:textId="77777777" w:rsidTr="3C234025">
        <w:trPr>
          <w:trHeight w:val="300"/>
        </w:trPr>
        <w:tc>
          <w:tcPr>
            <w:tcW w:w="615" w:type="dxa"/>
            <w:shd w:val="clear" w:color="auto" w:fill="002060"/>
          </w:tcPr>
          <w:p w14:paraId="21E9D359" w14:textId="1F64419F" w:rsidR="58623CB7" w:rsidRDefault="58623CB7" w:rsidP="58623CB7">
            <w:pPr>
              <w:jc w:val="center"/>
              <w:rPr>
                <w:rFonts w:asciiTheme="minorHAnsi" w:eastAsiaTheme="minorEastAsia" w:hAnsiTheme="minorHAnsi" w:cstheme="minorBidi"/>
                <w:b/>
                <w:bCs/>
                <w:color w:val="FFFFFF" w:themeColor="background1"/>
                <w:sz w:val="20"/>
                <w:szCs w:val="20"/>
              </w:rPr>
            </w:pPr>
            <w:r w:rsidRPr="58623CB7">
              <w:rPr>
                <w:rFonts w:asciiTheme="minorHAnsi" w:eastAsiaTheme="minorEastAsia" w:hAnsiTheme="minorHAnsi" w:cstheme="minorBidi"/>
                <w:b/>
                <w:bCs/>
                <w:color w:val="FFFFFF" w:themeColor="background1"/>
                <w:sz w:val="20"/>
                <w:szCs w:val="20"/>
              </w:rPr>
              <w:t>Ítem</w:t>
            </w:r>
          </w:p>
        </w:tc>
        <w:tc>
          <w:tcPr>
            <w:tcW w:w="9135" w:type="dxa"/>
            <w:gridSpan w:val="2"/>
            <w:shd w:val="clear" w:color="auto" w:fill="002060"/>
          </w:tcPr>
          <w:p w14:paraId="1B596621" w14:textId="41D6F5C2" w:rsidR="58623CB7" w:rsidRDefault="58623CB7" w:rsidP="58623CB7">
            <w:pPr>
              <w:spacing w:line="259" w:lineRule="auto"/>
              <w:jc w:val="center"/>
              <w:rPr>
                <w:rFonts w:asciiTheme="minorHAnsi" w:eastAsiaTheme="minorEastAsia" w:hAnsiTheme="minorHAnsi" w:cstheme="minorBidi"/>
                <w:b/>
                <w:bCs/>
                <w:color w:val="FFFFFF" w:themeColor="background1"/>
                <w:sz w:val="20"/>
                <w:szCs w:val="20"/>
              </w:rPr>
            </w:pPr>
            <w:r w:rsidRPr="58623CB7">
              <w:rPr>
                <w:rFonts w:asciiTheme="minorHAnsi" w:eastAsiaTheme="minorEastAsia" w:hAnsiTheme="minorHAnsi" w:cstheme="minorBidi"/>
                <w:b/>
                <w:bCs/>
                <w:color w:val="FFFFFF" w:themeColor="background1"/>
                <w:sz w:val="20"/>
                <w:szCs w:val="20"/>
              </w:rPr>
              <w:t xml:space="preserve">Laboratorio de </w:t>
            </w:r>
            <w:r w:rsidR="74ACA95B" w:rsidRPr="58623CB7">
              <w:rPr>
                <w:rFonts w:asciiTheme="minorHAnsi" w:eastAsiaTheme="minorEastAsia" w:hAnsiTheme="minorHAnsi" w:cstheme="minorBidi"/>
                <w:b/>
                <w:bCs/>
                <w:color w:val="FFFFFF" w:themeColor="background1"/>
                <w:sz w:val="20"/>
                <w:szCs w:val="20"/>
              </w:rPr>
              <w:t>energía de biomasa</w:t>
            </w:r>
          </w:p>
        </w:tc>
      </w:tr>
      <w:tr w:rsidR="58623CB7" w14:paraId="756E8F40" w14:textId="77777777" w:rsidTr="3C234025">
        <w:trPr>
          <w:trHeight w:val="300"/>
        </w:trPr>
        <w:tc>
          <w:tcPr>
            <w:tcW w:w="615" w:type="dxa"/>
          </w:tcPr>
          <w:p w14:paraId="6F50F363" w14:textId="361E3964" w:rsidR="58623CB7" w:rsidRDefault="58623CB7" w:rsidP="58623CB7">
            <w:r>
              <w:t>1</w:t>
            </w:r>
          </w:p>
        </w:tc>
        <w:tc>
          <w:tcPr>
            <w:tcW w:w="5885" w:type="dxa"/>
          </w:tcPr>
          <w:p w14:paraId="497C4C5F" w14:textId="46AEB86A" w:rsidR="58623CB7" w:rsidRDefault="70CEF3B8" w:rsidP="18865AD6">
            <w:r>
              <w:rPr>
                <w:noProof/>
              </w:rPr>
              <w:drawing>
                <wp:inline distT="0" distB="0" distL="0" distR="0" wp14:anchorId="23E7E26B" wp14:editId="704AB916">
                  <wp:extent cx="1028700" cy="1857375"/>
                  <wp:effectExtent l="0" t="0" r="0" b="0"/>
                  <wp:docPr id="5809749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974918" name="Picture 580974918"/>
                          <pic:cNvPicPr/>
                        </pic:nvPicPr>
                        <pic:blipFill>
                          <a:blip r:embed="rId114">
                            <a:extLst>
                              <a:ext uri="{28A0092B-C50C-407E-A947-70E740481C1C}">
                                <a14:useLocalDpi xmlns:a14="http://schemas.microsoft.com/office/drawing/2010/main"/>
                              </a:ext>
                            </a:extLst>
                          </a:blip>
                          <a:stretch>
                            <a:fillRect/>
                          </a:stretch>
                        </pic:blipFill>
                        <pic:spPr>
                          <a:xfrm>
                            <a:off x="0" y="0"/>
                            <a:ext cx="1028700" cy="1857375"/>
                          </a:xfrm>
                          <a:prstGeom prst="rect">
                            <a:avLst/>
                          </a:prstGeom>
                        </pic:spPr>
                      </pic:pic>
                    </a:graphicData>
                  </a:graphic>
                </wp:inline>
              </w:drawing>
            </w:r>
          </w:p>
          <w:p w14:paraId="0B6E0947" w14:textId="7491D984" w:rsidR="58623CB7" w:rsidRDefault="58623CB7" w:rsidP="18865AD6"/>
          <w:p w14:paraId="5BEDFCE9" w14:textId="39ECF005" w:rsidR="58623CB7" w:rsidRDefault="58623CB7" w:rsidP="18865AD6"/>
        </w:tc>
        <w:tc>
          <w:tcPr>
            <w:tcW w:w="3250" w:type="dxa"/>
          </w:tcPr>
          <w:p w14:paraId="0DB3510C" w14:textId="7849DED0" w:rsidR="58623CB7" w:rsidRDefault="59C16C6F"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738DA16E" w14:textId="11953F2A" w:rsidR="58623CB7" w:rsidRDefault="31C03033"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Molino/ trituradora</w:t>
            </w:r>
            <w:r w:rsidR="2659EDAB" w:rsidRPr="3C234025">
              <w:rPr>
                <w:rFonts w:asciiTheme="minorHAnsi" w:eastAsiaTheme="minorEastAsia" w:hAnsiTheme="minorHAnsi" w:cstheme="minorBidi"/>
                <w:b/>
                <w:bCs/>
                <w:sz w:val="20"/>
                <w:szCs w:val="20"/>
              </w:rPr>
              <w:t>.</w:t>
            </w:r>
            <w:r w:rsidR="2659EDAB" w:rsidRPr="3C234025">
              <w:rPr>
                <w:rFonts w:asciiTheme="minorHAnsi" w:eastAsiaTheme="minorEastAsia" w:hAnsiTheme="minorHAnsi" w:cstheme="minorBidi"/>
                <w:sz w:val="20"/>
                <w:szCs w:val="20"/>
              </w:rPr>
              <w:t xml:space="preserve"> </w:t>
            </w:r>
            <w:r w:rsidR="4435A00D" w:rsidRPr="3C234025">
              <w:rPr>
                <w:rFonts w:asciiTheme="minorHAnsi" w:eastAsiaTheme="minorEastAsia" w:hAnsiTheme="minorHAnsi" w:cstheme="minorBidi"/>
                <w:sz w:val="20"/>
                <w:szCs w:val="20"/>
              </w:rPr>
              <w:t>Fundamentales para la reducción de tamaño. Se utilizan molinos de cuchillas o de martillos</w:t>
            </w:r>
            <w:r w:rsidR="625DDC70" w:rsidRPr="3C234025">
              <w:rPr>
                <w:rFonts w:asciiTheme="minorHAnsi" w:eastAsiaTheme="minorEastAsia" w:hAnsiTheme="minorHAnsi" w:cstheme="minorBidi"/>
                <w:sz w:val="20"/>
                <w:szCs w:val="20"/>
              </w:rPr>
              <w:t xml:space="preserve">. </w:t>
            </w:r>
          </w:p>
          <w:p w14:paraId="1197557A" w14:textId="1E91DA96" w:rsidR="58623CB7" w:rsidRDefault="58623CB7" w:rsidP="3C234025">
            <w:pPr>
              <w:jc w:val="both"/>
              <w:rPr>
                <w:rFonts w:asciiTheme="minorHAnsi" w:eastAsiaTheme="minorEastAsia" w:hAnsiTheme="minorHAnsi" w:cstheme="minorBidi"/>
                <w:b/>
                <w:bCs/>
                <w:sz w:val="20"/>
                <w:szCs w:val="20"/>
              </w:rPr>
            </w:pPr>
          </w:p>
          <w:p w14:paraId="40A919C6" w14:textId="280604FB" w:rsidR="58623CB7" w:rsidRDefault="59C16C6F"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121B1ACF" w14:textId="4B731CBA" w:rsidR="58623CB7" w:rsidRDefault="1185082B"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Capacidad de procesamiento: 5-20 kg/h. </w:t>
            </w:r>
          </w:p>
          <w:p w14:paraId="55BEC45F" w14:textId="4C97105D" w:rsidR="58623CB7" w:rsidRDefault="1185082B"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Motor eléctrico de alto par (aprox. 1.5 - 3 kW). </w:t>
            </w:r>
          </w:p>
          <w:p w14:paraId="6E45EF85" w14:textId="1631E630" w:rsidR="58623CB7" w:rsidRDefault="1185082B"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Cámara de molienda en acero inoxidable o acero endurecido. </w:t>
            </w:r>
          </w:p>
          <w:p w14:paraId="53240689" w14:textId="6A251EF0" w:rsidR="58623CB7" w:rsidRDefault="1185082B"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Sistema de alimentación manual con tolva de seguridad. </w:t>
            </w:r>
          </w:p>
          <w:p w14:paraId="0D314190" w14:textId="711E8425" w:rsidR="58623CB7" w:rsidRDefault="1185082B"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Salida con ciclón o bolsa colectora para evitar dispersión de polvo.</w:t>
            </w:r>
          </w:p>
        </w:tc>
      </w:tr>
      <w:tr w:rsidR="18865AD6" w14:paraId="130A2F9D" w14:textId="77777777" w:rsidTr="3C234025">
        <w:trPr>
          <w:trHeight w:val="300"/>
        </w:trPr>
        <w:tc>
          <w:tcPr>
            <w:tcW w:w="615" w:type="dxa"/>
          </w:tcPr>
          <w:p w14:paraId="6EEC2DA2" w14:textId="1CC29DF4" w:rsidR="0CA86DE0" w:rsidRDefault="0CA86DE0" w:rsidP="18865AD6">
            <w:r>
              <w:t>2</w:t>
            </w:r>
          </w:p>
        </w:tc>
        <w:tc>
          <w:tcPr>
            <w:tcW w:w="5884" w:type="dxa"/>
          </w:tcPr>
          <w:p w14:paraId="7275BC23" w14:textId="45735B08" w:rsidR="0CA86DE0" w:rsidRDefault="0CA86DE0" w:rsidP="18865AD6">
            <w:r>
              <w:rPr>
                <w:noProof/>
              </w:rPr>
              <w:drawing>
                <wp:inline distT="0" distB="0" distL="0" distR="0" wp14:anchorId="31912922" wp14:editId="49A11844">
                  <wp:extent cx="1952625" cy="1743075"/>
                  <wp:effectExtent l="0" t="0" r="0" b="0"/>
                  <wp:docPr id="13029471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947120" name="Picture 1302947120"/>
                          <pic:cNvPicPr/>
                        </pic:nvPicPr>
                        <pic:blipFill>
                          <a:blip r:embed="rId115">
                            <a:extLst>
                              <a:ext uri="{28A0092B-C50C-407E-A947-70E740481C1C}">
                                <a14:useLocalDpi xmlns:a14="http://schemas.microsoft.com/office/drawing/2010/main"/>
                              </a:ext>
                            </a:extLst>
                          </a:blip>
                          <a:stretch>
                            <a:fillRect/>
                          </a:stretch>
                        </pic:blipFill>
                        <pic:spPr>
                          <a:xfrm>
                            <a:off x="0" y="0"/>
                            <a:ext cx="1952625" cy="1743075"/>
                          </a:xfrm>
                          <a:prstGeom prst="rect">
                            <a:avLst/>
                          </a:prstGeom>
                        </pic:spPr>
                      </pic:pic>
                    </a:graphicData>
                  </a:graphic>
                </wp:inline>
              </w:drawing>
            </w:r>
          </w:p>
          <w:p w14:paraId="1501AB86" w14:textId="2692CA8E" w:rsidR="18865AD6" w:rsidRDefault="18865AD6" w:rsidP="18865AD6"/>
        </w:tc>
        <w:tc>
          <w:tcPr>
            <w:tcW w:w="3248" w:type="dxa"/>
          </w:tcPr>
          <w:p w14:paraId="2BC85F43" w14:textId="7849DED0"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1BD07454" w14:textId="43D69CA2"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Tamizadora.</w:t>
            </w:r>
            <w:r w:rsidRPr="3C234025">
              <w:rPr>
                <w:rFonts w:asciiTheme="minorHAnsi" w:eastAsiaTheme="minorEastAsia" w:hAnsiTheme="minorHAnsi" w:cstheme="minorBidi"/>
                <w:sz w:val="20"/>
                <w:szCs w:val="20"/>
              </w:rPr>
              <w:t xml:space="preserve"> Para realizar análisis de granulometría y asegurar que las muestras tengan el tamaño de partícula requerido por las normativas. </w:t>
            </w:r>
          </w:p>
          <w:p w14:paraId="0971B8A5" w14:textId="1E91DA96" w:rsidR="18865AD6" w:rsidRDefault="18865AD6" w:rsidP="3C234025">
            <w:pPr>
              <w:jc w:val="both"/>
              <w:rPr>
                <w:rFonts w:asciiTheme="minorHAnsi" w:eastAsiaTheme="minorEastAsia" w:hAnsiTheme="minorHAnsi" w:cstheme="minorBidi"/>
                <w:b/>
                <w:bCs/>
                <w:sz w:val="20"/>
                <w:szCs w:val="20"/>
              </w:rPr>
            </w:pPr>
          </w:p>
          <w:p w14:paraId="78E797D0" w14:textId="280604FB"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14BCE921" w14:textId="7AD820DB" w:rsidR="5E0CCA5D" w:rsidRDefault="71379618"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Acción de tamizado electromagnético con movimiento en 3D (vertical y rotacional). </w:t>
            </w:r>
          </w:p>
          <w:p w14:paraId="190489E8" w14:textId="57201BFB" w:rsidR="5E0CCA5D" w:rsidRDefault="71379618"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Capacidad para columna de al menos 6 a 8 tamices de 200 mm (8") de diámetro más fondo. </w:t>
            </w:r>
          </w:p>
          <w:p w14:paraId="42B8781B" w14:textId="6C3D0F71" w:rsidR="5E0CCA5D" w:rsidRDefault="71379618"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Temporizador digital (1-99 min). </w:t>
            </w:r>
          </w:p>
          <w:p w14:paraId="2D2B492F" w14:textId="0AFBBD10" w:rsidR="5E0CCA5D" w:rsidRDefault="71379618"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 xml:space="preserve">Ajuste de amplitud de vibración. </w:t>
            </w:r>
          </w:p>
          <w:p w14:paraId="4A4A1E6F" w14:textId="29C1D144" w:rsidR="5E0CCA5D" w:rsidRDefault="71379618"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de cierre rápido (Easy-Lock).</w:t>
            </w:r>
          </w:p>
        </w:tc>
      </w:tr>
      <w:tr w:rsidR="18865AD6" w14:paraId="37F0BDF3" w14:textId="77777777" w:rsidTr="3C234025">
        <w:trPr>
          <w:trHeight w:val="300"/>
        </w:trPr>
        <w:tc>
          <w:tcPr>
            <w:tcW w:w="615" w:type="dxa"/>
          </w:tcPr>
          <w:p w14:paraId="3CD63D9C" w14:textId="1225FA4C" w:rsidR="4FAB782F" w:rsidRDefault="4FAB782F" w:rsidP="18865AD6">
            <w:r>
              <w:t>3</w:t>
            </w:r>
          </w:p>
        </w:tc>
        <w:tc>
          <w:tcPr>
            <w:tcW w:w="5884" w:type="dxa"/>
          </w:tcPr>
          <w:p w14:paraId="31EB908B" w14:textId="34E80EA7" w:rsidR="4FAB782F" w:rsidRDefault="4FAB782F" w:rsidP="18865AD6">
            <w:r>
              <w:rPr>
                <w:noProof/>
              </w:rPr>
              <w:drawing>
                <wp:inline distT="0" distB="0" distL="0" distR="0" wp14:anchorId="7CD9AC6D" wp14:editId="624D86EC">
                  <wp:extent cx="1323975" cy="2362200"/>
                  <wp:effectExtent l="0" t="0" r="0" b="0"/>
                  <wp:docPr id="10532300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230095" name="Picture 1053230095"/>
                          <pic:cNvPicPr/>
                        </pic:nvPicPr>
                        <pic:blipFill>
                          <a:blip r:embed="rId116">
                            <a:extLst>
                              <a:ext uri="{28A0092B-C50C-407E-A947-70E740481C1C}">
                                <a14:useLocalDpi xmlns:a14="http://schemas.microsoft.com/office/drawing/2010/main"/>
                              </a:ext>
                            </a:extLst>
                          </a:blip>
                          <a:stretch>
                            <a:fillRect/>
                          </a:stretch>
                        </pic:blipFill>
                        <pic:spPr>
                          <a:xfrm>
                            <a:off x="0" y="0"/>
                            <a:ext cx="1323975" cy="2362200"/>
                          </a:xfrm>
                          <a:prstGeom prst="rect">
                            <a:avLst/>
                          </a:prstGeom>
                        </pic:spPr>
                      </pic:pic>
                    </a:graphicData>
                  </a:graphic>
                </wp:inline>
              </w:drawing>
            </w:r>
          </w:p>
          <w:p w14:paraId="7968C94B" w14:textId="40027498" w:rsidR="18865AD6" w:rsidRDefault="18865AD6" w:rsidP="18865AD6"/>
        </w:tc>
        <w:tc>
          <w:tcPr>
            <w:tcW w:w="3248" w:type="dxa"/>
          </w:tcPr>
          <w:p w14:paraId="44940C59" w14:textId="7849DED0"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46A9DAA2" w14:textId="3B829521"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Estufas de Secado.</w:t>
            </w:r>
            <w:r w:rsidRPr="3C234025">
              <w:rPr>
                <w:rFonts w:asciiTheme="minorHAnsi" w:eastAsiaTheme="minorEastAsia" w:hAnsiTheme="minorHAnsi" w:cstheme="minorBidi"/>
                <w:sz w:val="20"/>
                <w:szCs w:val="20"/>
              </w:rPr>
              <w:t xml:space="preserve"> Utilizadas para determinar el contenido de humedad mediante la pérdida de peso por evaporación. </w:t>
            </w:r>
          </w:p>
          <w:p w14:paraId="1196D042" w14:textId="1E91DA96" w:rsidR="18865AD6" w:rsidRDefault="18865AD6" w:rsidP="3C234025">
            <w:pPr>
              <w:jc w:val="both"/>
              <w:rPr>
                <w:rFonts w:asciiTheme="minorHAnsi" w:eastAsiaTheme="minorEastAsia" w:hAnsiTheme="minorHAnsi" w:cstheme="minorBidi"/>
                <w:b/>
                <w:bCs/>
                <w:sz w:val="20"/>
                <w:szCs w:val="20"/>
              </w:rPr>
            </w:pPr>
          </w:p>
          <w:p w14:paraId="5BAEB295" w14:textId="280604FB"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22C2A688" w14:textId="4A32EA00" w:rsidR="085A32BC" w:rsidRDefault="4B402C51" w:rsidP="3C234025">
            <w:pPr>
              <w:spacing w:line="259" w:lineRule="auto"/>
              <w:jc w:val="both"/>
              <w:rPr>
                <w:rFonts w:asciiTheme="minorHAnsi" w:eastAsiaTheme="minorEastAsia" w:hAnsiTheme="minorHAnsi" w:cstheme="minorBidi"/>
                <w:sz w:val="20"/>
                <w:szCs w:val="20"/>
              </w:rPr>
            </w:pPr>
            <w:r w:rsidRPr="3C234025">
              <w:rPr>
                <w:rFonts w:ascii="Calibri" w:eastAsia="Calibri" w:hAnsi="Calibri" w:cs="Calibri"/>
                <w:sz w:val="20"/>
                <w:szCs w:val="20"/>
              </w:rPr>
              <w:t xml:space="preserve">Rango de temperatura: ambiente +5°C hasta </w:t>
            </w:r>
            <w:r w:rsidR="34C891C6" w:rsidRPr="3C234025">
              <w:rPr>
                <w:rFonts w:ascii="Calibri" w:eastAsia="Calibri" w:hAnsi="Calibri" w:cs="Calibri"/>
                <w:sz w:val="20"/>
                <w:szCs w:val="20"/>
              </w:rPr>
              <w:t>25</w:t>
            </w:r>
            <w:r w:rsidRPr="3C234025">
              <w:rPr>
                <w:rFonts w:ascii="Calibri" w:eastAsia="Calibri" w:hAnsi="Calibri" w:cs="Calibri"/>
                <w:sz w:val="20"/>
                <w:szCs w:val="20"/>
              </w:rPr>
              <w:t xml:space="preserve">0°C. </w:t>
            </w:r>
          </w:p>
          <w:p w14:paraId="417DB8BB" w14:textId="69CE808D" w:rsidR="085A32BC" w:rsidRDefault="4B402C51" w:rsidP="3C234025">
            <w:pPr>
              <w:jc w:val="both"/>
              <w:rPr>
                <w:rFonts w:asciiTheme="minorHAnsi" w:eastAsiaTheme="minorEastAsia" w:hAnsiTheme="minorHAnsi" w:cstheme="minorBidi"/>
                <w:sz w:val="20"/>
                <w:szCs w:val="20"/>
              </w:rPr>
            </w:pPr>
            <w:r w:rsidRPr="3C234025">
              <w:rPr>
                <w:rFonts w:ascii="Calibri" w:eastAsia="Calibri" w:hAnsi="Calibri" w:cs="Calibri"/>
                <w:sz w:val="20"/>
                <w:szCs w:val="20"/>
              </w:rPr>
              <w:t xml:space="preserve">Capacidad: 30 litros. </w:t>
            </w:r>
          </w:p>
          <w:p w14:paraId="1ECA28CB" w14:textId="0C253803" w:rsidR="085A32BC" w:rsidRDefault="4B402C51" w:rsidP="3C234025">
            <w:pPr>
              <w:jc w:val="both"/>
              <w:rPr>
                <w:rFonts w:asciiTheme="minorHAnsi" w:eastAsiaTheme="minorEastAsia" w:hAnsiTheme="minorHAnsi" w:cstheme="minorBidi"/>
                <w:sz w:val="20"/>
                <w:szCs w:val="20"/>
              </w:rPr>
            </w:pPr>
            <w:r w:rsidRPr="3C234025">
              <w:rPr>
                <w:rFonts w:ascii="Calibri" w:eastAsia="Calibri" w:hAnsi="Calibri" w:cs="Calibri"/>
                <w:sz w:val="20"/>
                <w:szCs w:val="20"/>
              </w:rPr>
              <w:t>Control digital por microprocesador (PID) con resolución de 0.1</w:t>
            </w:r>
            <w:r w:rsidR="5B1CEA6A" w:rsidRPr="3C234025">
              <w:rPr>
                <w:rFonts w:ascii="Calibri" w:eastAsia="Calibri" w:hAnsi="Calibri" w:cs="Calibri"/>
                <w:sz w:val="20"/>
                <w:szCs w:val="20"/>
              </w:rPr>
              <w:t>°</w:t>
            </w:r>
            <w:r w:rsidRPr="3C234025">
              <w:rPr>
                <w:rFonts w:ascii="Calibri" w:eastAsia="Calibri" w:hAnsi="Calibri" w:cs="Calibri"/>
                <w:sz w:val="20"/>
                <w:szCs w:val="20"/>
              </w:rPr>
              <w:t xml:space="preserve">C. Sistema de convección forzada por ventilador para asegurar homogeneidad térmica. </w:t>
            </w:r>
          </w:p>
          <w:p w14:paraId="55B73253" w14:textId="404CC156" w:rsidR="085A32BC" w:rsidRDefault="4B402C51" w:rsidP="3C234025">
            <w:pPr>
              <w:jc w:val="both"/>
              <w:rPr>
                <w:rFonts w:asciiTheme="minorHAnsi" w:eastAsiaTheme="minorEastAsia" w:hAnsiTheme="minorHAnsi" w:cstheme="minorBidi"/>
                <w:sz w:val="20"/>
                <w:szCs w:val="20"/>
              </w:rPr>
            </w:pPr>
            <w:r w:rsidRPr="3C234025">
              <w:rPr>
                <w:rFonts w:ascii="Calibri" w:eastAsia="Calibri" w:hAnsi="Calibri" w:cs="Calibri"/>
                <w:sz w:val="20"/>
                <w:szCs w:val="20"/>
              </w:rPr>
              <w:t>Cámara interna de acero inoxidable</w:t>
            </w:r>
            <w:r w:rsidR="1A569004" w:rsidRPr="3C234025">
              <w:rPr>
                <w:rFonts w:asciiTheme="minorHAnsi" w:eastAsiaTheme="minorEastAsia" w:hAnsiTheme="minorHAnsi" w:cstheme="minorBidi"/>
                <w:sz w:val="20"/>
                <w:szCs w:val="20"/>
              </w:rPr>
              <w:t>.</w:t>
            </w:r>
          </w:p>
          <w:p w14:paraId="0E246A47" w14:textId="72BA9D82" w:rsidR="18865AD6" w:rsidRDefault="18865AD6" w:rsidP="18865AD6">
            <w:pPr>
              <w:rPr>
                <w:rFonts w:asciiTheme="minorHAnsi" w:eastAsiaTheme="minorEastAsia" w:hAnsiTheme="minorHAnsi" w:cstheme="minorBidi"/>
                <w:b/>
                <w:bCs/>
                <w:sz w:val="20"/>
                <w:szCs w:val="20"/>
              </w:rPr>
            </w:pPr>
          </w:p>
        </w:tc>
      </w:tr>
      <w:tr w:rsidR="18865AD6" w14:paraId="166EB9F8" w14:textId="77777777" w:rsidTr="3C234025">
        <w:trPr>
          <w:trHeight w:val="300"/>
        </w:trPr>
        <w:tc>
          <w:tcPr>
            <w:tcW w:w="615" w:type="dxa"/>
          </w:tcPr>
          <w:p w14:paraId="28774D6E" w14:textId="574387A7" w:rsidR="4FAB782F" w:rsidRDefault="4FAB782F" w:rsidP="18865AD6">
            <w:r>
              <w:t>4</w:t>
            </w:r>
          </w:p>
        </w:tc>
        <w:tc>
          <w:tcPr>
            <w:tcW w:w="5884" w:type="dxa"/>
          </w:tcPr>
          <w:p w14:paraId="1F5DB6FF" w14:textId="4185391B" w:rsidR="4FAB782F" w:rsidRDefault="4FAB782F" w:rsidP="18865AD6">
            <w:r>
              <w:rPr>
                <w:noProof/>
              </w:rPr>
              <w:drawing>
                <wp:inline distT="0" distB="0" distL="0" distR="0" wp14:anchorId="5DD1A682" wp14:editId="2C1C988C">
                  <wp:extent cx="2190750" cy="2152650"/>
                  <wp:effectExtent l="0" t="0" r="0" b="0"/>
                  <wp:docPr id="3212277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27727" name="Picture 321227727"/>
                          <pic:cNvPicPr/>
                        </pic:nvPicPr>
                        <pic:blipFill>
                          <a:blip r:embed="rId117">
                            <a:extLst>
                              <a:ext uri="{28A0092B-C50C-407E-A947-70E740481C1C}">
                                <a14:useLocalDpi xmlns:a14="http://schemas.microsoft.com/office/drawing/2010/main"/>
                              </a:ext>
                            </a:extLst>
                          </a:blip>
                          <a:stretch>
                            <a:fillRect/>
                          </a:stretch>
                        </pic:blipFill>
                        <pic:spPr>
                          <a:xfrm>
                            <a:off x="0" y="0"/>
                            <a:ext cx="2190750" cy="2152650"/>
                          </a:xfrm>
                          <a:prstGeom prst="rect">
                            <a:avLst/>
                          </a:prstGeom>
                        </pic:spPr>
                      </pic:pic>
                    </a:graphicData>
                  </a:graphic>
                </wp:inline>
              </w:drawing>
            </w:r>
          </w:p>
          <w:p w14:paraId="13FC3A1F" w14:textId="000BFE9A" w:rsidR="18865AD6" w:rsidRDefault="18865AD6" w:rsidP="18865AD6"/>
        </w:tc>
        <w:tc>
          <w:tcPr>
            <w:tcW w:w="3248" w:type="dxa"/>
          </w:tcPr>
          <w:p w14:paraId="21B085C6" w14:textId="7849DED0" w:rsidR="4FAB782F" w:rsidRDefault="4FAB782F" w:rsidP="18865AD6">
            <w:pPr>
              <w:rPr>
                <w:rFonts w:asciiTheme="minorHAnsi" w:eastAsiaTheme="minorEastAsia" w:hAnsiTheme="minorHAnsi" w:cstheme="minorBidi"/>
                <w:sz w:val="20"/>
                <w:szCs w:val="20"/>
              </w:rPr>
            </w:pPr>
            <w:r w:rsidRPr="18865AD6">
              <w:rPr>
                <w:rFonts w:asciiTheme="minorHAnsi" w:eastAsiaTheme="minorEastAsia" w:hAnsiTheme="minorHAnsi" w:cstheme="minorBidi"/>
                <w:b/>
                <w:bCs/>
                <w:sz w:val="20"/>
                <w:szCs w:val="20"/>
              </w:rPr>
              <w:t>Necesidad</w:t>
            </w:r>
            <w:r w:rsidRPr="18865AD6">
              <w:rPr>
                <w:rFonts w:asciiTheme="minorHAnsi" w:eastAsiaTheme="minorEastAsia" w:hAnsiTheme="minorHAnsi" w:cstheme="minorBidi"/>
                <w:sz w:val="20"/>
                <w:szCs w:val="20"/>
              </w:rPr>
              <w:t xml:space="preserve"> </w:t>
            </w:r>
          </w:p>
          <w:p w14:paraId="7EF91E64" w14:textId="0B00323B"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Balanza Analítica de Alta Precisión.</w:t>
            </w:r>
            <w:r w:rsidRPr="3C234025">
              <w:rPr>
                <w:rFonts w:asciiTheme="minorHAnsi" w:eastAsiaTheme="minorEastAsia" w:hAnsiTheme="minorHAnsi" w:cstheme="minorBidi"/>
                <w:sz w:val="20"/>
                <w:szCs w:val="20"/>
              </w:rPr>
              <w:t xml:space="preserve"> Indispensable para el pesaje exacto de muestras y cenizas. </w:t>
            </w:r>
          </w:p>
          <w:p w14:paraId="561FC426" w14:textId="1E91DA96" w:rsidR="18865AD6" w:rsidRDefault="18865AD6" w:rsidP="3C234025">
            <w:pPr>
              <w:jc w:val="both"/>
              <w:rPr>
                <w:rFonts w:asciiTheme="minorHAnsi" w:eastAsiaTheme="minorEastAsia" w:hAnsiTheme="minorHAnsi" w:cstheme="minorBidi"/>
                <w:b/>
                <w:bCs/>
                <w:sz w:val="20"/>
                <w:szCs w:val="20"/>
              </w:rPr>
            </w:pPr>
          </w:p>
          <w:p w14:paraId="0BEABE93" w14:textId="280604FB"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1CADF115" w14:textId="0AF9182A" w:rsidR="36F5BCC6" w:rsidRDefault="7AD7F7C6"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Capacidad Máxima 200 g</w:t>
            </w:r>
          </w:p>
          <w:p w14:paraId="11B7762B" w14:textId="41BE0024" w:rsidR="36F5BCC6" w:rsidRDefault="7AD7F7C6"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Legibilidad (Resolución) 0.1 mg (0.0001 g)</w:t>
            </w:r>
          </w:p>
          <w:p w14:paraId="0A99B698" w14:textId="05F5B37E" w:rsidR="36F5BCC6" w:rsidRDefault="7AD7F7C6"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Repetibilidad (Desviación)</w:t>
            </w:r>
            <w:r w:rsidR="6E16262E" w:rsidRPr="3C234025">
              <w:rPr>
                <w:rFonts w:asciiTheme="minorHAnsi" w:eastAsiaTheme="minorEastAsia" w:hAnsiTheme="minorHAnsi" w:cstheme="minorBidi"/>
                <w:sz w:val="20"/>
                <w:szCs w:val="20"/>
              </w:rPr>
              <w:t xml:space="preserve"> &lt;=</w:t>
            </w:r>
            <w:r w:rsidRPr="3C234025">
              <w:rPr>
                <w:rFonts w:asciiTheme="minorHAnsi" w:eastAsiaTheme="minorEastAsia" w:hAnsiTheme="minorHAnsi" w:cstheme="minorBidi"/>
                <w:sz w:val="20"/>
                <w:szCs w:val="20"/>
              </w:rPr>
              <w:t xml:space="preserve"> 0.1 mg</w:t>
            </w:r>
          </w:p>
          <w:p w14:paraId="01D634F9" w14:textId="70445DE4" w:rsidR="36F5BCC6" w:rsidRDefault="7AD7F7C6"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Linealidad</w:t>
            </w:r>
            <w:r w:rsidR="6B3D92AB"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 xml:space="preserve"> 0.2 mg</w:t>
            </w:r>
          </w:p>
          <w:p w14:paraId="545231AA" w14:textId="59AB8318" w:rsidR="36F5BCC6" w:rsidRDefault="7AD7F7C6"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Tiempo de Estabilización</w:t>
            </w:r>
            <w:r w:rsidR="6E410417" w:rsidRPr="3C234025">
              <w:rPr>
                <w:rFonts w:asciiTheme="minorHAnsi" w:eastAsiaTheme="minorEastAsia" w:hAnsiTheme="minorHAnsi" w:cstheme="minorBidi"/>
                <w:sz w:val="20"/>
                <w:szCs w:val="20"/>
              </w:rPr>
              <w:t xml:space="preserve"> &lt;=</w:t>
            </w:r>
            <w:r w:rsidRPr="3C234025">
              <w:rPr>
                <w:rFonts w:asciiTheme="minorHAnsi" w:eastAsiaTheme="minorEastAsia" w:hAnsiTheme="minorHAnsi" w:cstheme="minorBidi"/>
                <w:sz w:val="20"/>
                <w:szCs w:val="20"/>
              </w:rPr>
              <w:t xml:space="preserve"> 3 segundos</w:t>
            </w:r>
          </w:p>
          <w:p w14:paraId="3826DA49" w14:textId="421043B2" w:rsidR="36F5BCC6" w:rsidRDefault="7AD7F7C6"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de Calibración</w:t>
            </w:r>
            <w:r w:rsidR="2560A278"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Interna automática (por cambios de temperatura o tiempo)</w:t>
            </w:r>
          </w:p>
          <w:p w14:paraId="55155D5B" w14:textId="1485E06B" w:rsidR="36F5BCC6" w:rsidRDefault="7AD7F7C6"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Interfaz de Comunicación</w:t>
            </w:r>
            <w:r w:rsidR="75C241DB"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RS232 o USB (para conexión a PC/software de laboratorio)</w:t>
            </w:r>
            <w:r w:rsidR="1A569004" w:rsidRPr="3C234025">
              <w:rPr>
                <w:rFonts w:asciiTheme="minorHAnsi" w:eastAsiaTheme="minorEastAsia" w:hAnsiTheme="minorHAnsi" w:cstheme="minorBidi"/>
                <w:sz w:val="20"/>
                <w:szCs w:val="20"/>
              </w:rPr>
              <w:t>.</w:t>
            </w:r>
          </w:p>
        </w:tc>
      </w:tr>
      <w:tr w:rsidR="18865AD6" w14:paraId="17BAAA5F" w14:textId="77777777" w:rsidTr="3C234025">
        <w:trPr>
          <w:trHeight w:val="300"/>
        </w:trPr>
        <w:tc>
          <w:tcPr>
            <w:tcW w:w="615" w:type="dxa"/>
          </w:tcPr>
          <w:p w14:paraId="0D13501C" w14:textId="25156CA8" w:rsidR="4FAB782F" w:rsidRDefault="4FAB782F" w:rsidP="18865AD6">
            <w:r>
              <w:t>5</w:t>
            </w:r>
          </w:p>
        </w:tc>
        <w:tc>
          <w:tcPr>
            <w:tcW w:w="5884" w:type="dxa"/>
          </w:tcPr>
          <w:p w14:paraId="61B31093" w14:textId="79FC87B5" w:rsidR="4FAB782F" w:rsidRDefault="4FAB782F" w:rsidP="18865AD6">
            <w:r>
              <w:rPr>
                <w:noProof/>
              </w:rPr>
              <w:drawing>
                <wp:inline distT="0" distB="0" distL="0" distR="0" wp14:anchorId="71E2BA5C" wp14:editId="38C5D308">
                  <wp:extent cx="1743075" cy="1628775"/>
                  <wp:effectExtent l="0" t="0" r="0" b="0"/>
                  <wp:docPr id="7754687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468767" name="Picture 775468767"/>
                          <pic:cNvPicPr/>
                        </pic:nvPicPr>
                        <pic:blipFill>
                          <a:blip r:embed="rId118">
                            <a:extLst>
                              <a:ext uri="{28A0092B-C50C-407E-A947-70E740481C1C}">
                                <a14:useLocalDpi xmlns:a14="http://schemas.microsoft.com/office/drawing/2010/main"/>
                              </a:ext>
                            </a:extLst>
                          </a:blip>
                          <a:stretch>
                            <a:fillRect/>
                          </a:stretch>
                        </pic:blipFill>
                        <pic:spPr>
                          <a:xfrm>
                            <a:off x="0" y="0"/>
                            <a:ext cx="1743075" cy="1628775"/>
                          </a:xfrm>
                          <a:prstGeom prst="rect">
                            <a:avLst/>
                          </a:prstGeom>
                        </pic:spPr>
                      </pic:pic>
                    </a:graphicData>
                  </a:graphic>
                </wp:inline>
              </w:drawing>
            </w:r>
          </w:p>
        </w:tc>
        <w:tc>
          <w:tcPr>
            <w:tcW w:w="3248" w:type="dxa"/>
          </w:tcPr>
          <w:p w14:paraId="5FE4A1E0" w14:textId="7849DED0"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019FACFB" w14:textId="72838EF9"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Bomba Calorimétrica.</w:t>
            </w:r>
            <w:r w:rsidRPr="3C234025">
              <w:rPr>
                <w:rFonts w:asciiTheme="minorHAnsi" w:eastAsiaTheme="minorEastAsia" w:hAnsiTheme="minorHAnsi" w:cstheme="minorBidi"/>
                <w:sz w:val="20"/>
                <w:szCs w:val="20"/>
              </w:rPr>
              <w:t xml:space="preserve"> Mide el poder calorífico (energía liberada durante la combustión), parámetro clave para evaluar la eficiencia energética del biocombustible.</w:t>
            </w:r>
          </w:p>
          <w:p w14:paraId="4FA88B1B" w14:textId="1E91DA96" w:rsidR="18865AD6" w:rsidRDefault="18865AD6" w:rsidP="3C234025">
            <w:pPr>
              <w:jc w:val="both"/>
              <w:rPr>
                <w:rFonts w:asciiTheme="minorHAnsi" w:eastAsiaTheme="minorEastAsia" w:hAnsiTheme="minorHAnsi" w:cstheme="minorBidi"/>
                <w:b/>
                <w:bCs/>
                <w:sz w:val="20"/>
                <w:szCs w:val="20"/>
              </w:rPr>
            </w:pPr>
          </w:p>
          <w:p w14:paraId="0D005C4E" w14:textId="280604FB"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066FEA61" w14:textId="2C04DEED" w:rsidR="0D625A46" w:rsidRDefault="39C125D1"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Tipo de Operación: Isoperibólica (con camisa de agua controlada) o Adiabática.</w:t>
            </w:r>
          </w:p>
          <w:p w14:paraId="0680E722" w14:textId="035A1811" w:rsidR="0D625A46" w:rsidRDefault="39C125D1"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Resolución de Temperatura: 0.0001 °C (crucial para la precisión del cálculo).</w:t>
            </w:r>
          </w:p>
          <w:p w14:paraId="084C7644" w14:textId="192B7362" w:rsidR="0D625A46" w:rsidRDefault="39C125D1"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Capacidad de Análisis: 2 muestras por hora (operación optimizada).</w:t>
            </w:r>
          </w:p>
          <w:p w14:paraId="7007A0E8" w14:textId="0F2AB8B2" w:rsidR="0D625A46" w:rsidRDefault="39C125D1"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Precisión (RSD)</w:t>
            </w:r>
            <w:r w:rsidR="0B3E1F0B"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&lt; 0.1% (Desviación Estándar Relativa).</w:t>
            </w:r>
          </w:p>
          <w:p w14:paraId="318B7BF8" w14:textId="60CCE9AD" w:rsidR="0D625A46" w:rsidRDefault="39C125D1"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Material del Recipiente (Bomba)</w:t>
            </w:r>
            <w:r w:rsidR="722B79A7"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Acero inoxidable de alta resistencia, resistente a la corrosión por ácidos halogenados.</w:t>
            </w:r>
          </w:p>
          <w:p w14:paraId="135CADC7" w14:textId="0A9ED6B8" w:rsidR="0D625A46" w:rsidRDefault="39C125D1"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de Ignición</w:t>
            </w:r>
            <w:r w:rsidR="5BECDA3B"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Electrónico, mediante hilo de algodón o alambre de níquel-cromo.</w:t>
            </w:r>
          </w:p>
          <w:p w14:paraId="19141D9B" w14:textId="09FC1A57" w:rsidR="0D625A46" w:rsidRDefault="39C125D1"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Interfaz de Datos</w:t>
            </w:r>
            <w:r w:rsidR="6A6D18D6"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Software dedicado para el cálculo automático del PCS y conexión a PC</w:t>
            </w:r>
            <w:r w:rsidR="1A569004" w:rsidRPr="3C234025">
              <w:rPr>
                <w:rFonts w:asciiTheme="minorHAnsi" w:eastAsiaTheme="minorEastAsia" w:hAnsiTheme="minorHAnsi" w:cstheme="minorBidi"/>
                <w:sz w:val="20"/>
                <w:szCs w:val="20"/>
              </w:rPr>
              <w:t>.</w:t>
            </w:r>
          </w:p>
        </w:tc>
      </w:tr>
      <w:tr w:rsidR="18865AD6" w14:paraId="4EC440BE" w14:textId="77777777" w:rsidTr="3C234025">
        <w:trPr>
          <w:trHeight w:val="300"/>
        </w:trPr>
        <w:tc>
          <w:tcPr>
            <w:tcW w:w="615" w:type="dxa"/>
          </w:tcPr>
          <w:p w14:paraId="7C23694F" w14:textId="41B9726A" w:rsidR="4FAB782F" w:rsidRDefault="4FAB782F" w:rsidP="18865AD6">
            <w:r>
              <w:t>6</w:t>
            </w:r>
          </w:p>
        </w:tc>
        <w:tc>
          <w:tcPr>
            <w:tcW w:w="5884" w:type="dxa"/>
          </w:tcPr>
          <w:p w14:paraId="50724428" w14:textId="024FAD45" w:rsidR="4FAB782F" w:rsidRDefault="4FAB782F" w:rsidP="18865AD6">
            <w:r>
              <w:rPr>
                <w:noProof/>
              </w:rPr>
              <w:drawing>
                <wp:inline distT="0" distB="0" distL="0" distR="0" wp14:anchorId="0CDDE69E" wp14:editId="65A75AC9">
                  <wp:extent cx="1390650" cy="1543050"/>
                  <wp:effectExtent l="0" t="0" r="0" b="0"/>
                  <wp:docPr id="12694827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82745" name="Picture 1269482745"/>
                          <pic:cNvPicPr/>
                        </pic:nvPicPr>
                        <pic:blipFill>
                          <a:blip r:embed="rId119">
                            <a:extLst>
                              <a:ext uri="{28A0092B-C50C-407E-A947-70E740481C1C}">
                                <a14:useLocalDpi xmlns:a14="http://schemas.microsoft.com/office/drawing/2010/main"/>
                              </a:ext>
                            </a:extLst>
                          </a:blip>
                          <a:stretch>
                            <a:fillRect/>
                          </a:stretch>
                        </pic:blipFill>
                        <pic:spPr>
                          <a:xfrm>
                            <a:off x="0" y="0"/>
                            <a:ext cx="1390650" cy="1543050"/>
                          </a:xfrm>
                          <a:prstGeom prst="rect">
                            <a:avLst/>
                          </a:prstGeom>
                        </pic:spPr>
                      </pic:pic>
                    </a:graphicData>
                  </a:graphic>
                </wp:inline>
              </w:drawing>
            </w:r>
          </w:p>
        </w:tc>
        <w:tc>
          <w:tcPr>
            <w:tcW w:w="3248" w:type="dxa"/>
          </w:tcPr>
          <w:p w14:paraId="4D8F9AA5" w14:textId="7849DED0"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0D12486F" w14:textId="408B3A4D"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Analizador Elemental.</w:t>
            </w:r>
            <w:r w:rsidRPr="3C234025">
              <w:rPr>
                <w:rFonts w:asciiTheme="minorHAnsi" w:eastAsiaTheme="minorEastAsia" w:hAnsiTheme="minorHAnsi" w:cstheme="minorBidi"/>
                <w:sz w:val="20"/>
                <w:szCs w:val="20"/>
              </w:rPr>
              <w:t xml:space="preserve"> Determina la concentración de carbono, hidrógeno, nitrógeno y azufre, fundamental para calcular el balance de masa y emisiones teóricas. </w:t>
            </w:r>
          </w:p>
          <w:p w14:paraId="554F1181" w14:textId="1E91DA96" w:rsidR="18865AD6" w:rsidRDefault="18865AD6" w:rsidP="3C234025">
            <w:pPr>
              <w:jc w:val="both"/>
              <w:rPr>
                <w:rFonts w:asciiTheme="minorHAnsi" w:eastAsiaTheme="minorEastAsia" w:hAnsiTheme="minorHAnsi" w:cstheme="minorBidi"/>
                <w:b/>
                <w:bCs/>
                <w:sz w:val="20"/>
                <w:szCs w:val="20"/>
              </w:rPr>
            </w:pPr>
          </w:p>
          <w:p w14:paraId="1E16048F" w14:textId="280604FB"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2AFCB672" w14:textId="54E9871C" w:rsidR="2995760C" w:rsidRDefault="669F22CA"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Modos de Medición</w:t>
            </w:r>
            <w:r w:rsidR="4760F0B9"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CHNS simultáneo (Carbono, Hidrógeno, Nitrógeno y Azufre). Opcional: Oxígeno (O) por pirólisis.</w:t>
            </w:r>
          </w:p>
          <w:p w14:paraId="481546FA" w14:textId="4D0AF858" w:rsidR="2995760C" w:rsidRDefault="669F22CA"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Principio de Análisis</w:t>
            </w:r>
            <w:r w:rsidR="62EB142A"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Combustión completa de la muestra a alta temperatura seguida de separación por cromatografía de gases (GC) y detección por conductividad térmica (TCD).</w:t>
            </w:r>
          </w:p>
          <w:p w14:paraId="602B3C58" w14:textId="4759EE45" w:rsidR="18865AD6" w:rsidRDefault="669F22CA"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Rango de Temperatura</w:t>
            </w:r>
            <w:r w:rsidR="67C89A0B"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Horno de combustión ajustable hasta 1050</w:t>
            </w:r>
            <w:r w:rsidR="0826BDB0" w:rsidRPr="3C234025">
              <w:rPr>
                <w:rFonts w:asciiTheme="minorHAnsi" w:eastAsiaTheme="minorEastAsia" w:hAnsiTheme="minorHAnsi" w:cstheme="minorBidi"/>
                <w:sz w:val="20"/>
                <w:szCs w:val="20"/>
              </w:rPr>
              <w:t>°</w:t>
            </w:r>
            <w:r w:rsidRPr="3C234025">
              <w:rPr>
                <w:rFonts w:asciiTheme="minorHAnsi" w:eastAsiaTheme="minorEastAsia" w:hAnsiTheme="minorHAnsi" w:cstheme="minorBidi"/>
                <w:sz w:val="20"/>
                <w:szCs w:val="20"/>
              </w:rPr>
              <w:t>C (para asegurar oxidación total).</w:t>
            </w:r>
          </w:p>
          <w:p w14:paraId="3D790892" w14:textId="2DDDB967" w:rsidR="18865AD6" w:rsidRDefault="669F22CA"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Rango de Detección</w:t>
            </w:r>
            <w:r w:rsidR="1A3E4F98"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De 0.001% a 100% para cada elemento.</w:t>
            </w:r>
          </w:p>
          <w:p w14:paraId="2C5A0CC6" w14:textId="402F9A01" w:rsidR="18865AD6" w:rsidRDefault="669F22CA"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Precisión (Desviación)</w:t>
            </w:r>
            <w:r w:rsidR="7248CAEA" w:rsidRPr="3C234025">
              <w:rPr>
                <w:rFonts w:asciiTheme="minorHAnsi" w:eastAsiaTheme="minorEastAsia" w:hAnsiTheme="minorHAnsi" w:cstheme="minorBidi"/>
                <w:sz w:val="20"/>
                <w:szCs w:val="20"/>
              </w:rPr>
              <w:t>: &lt;=</w:t>
            </w:r>
            <w:r w:rsidRPr="3C234025">
              <w:rPr>
                <w:rFonts w:asciiTheme="minorHAnsi" w:eastAsiaTheme="minorEastAsia" w:hAnsiTheme="minorHAnsi" w:cstheme="minorBidi"/>
                <w:sz w:val="20"/>
                <w:szCs w:val="20"/>
              </w:rPr>
              <w:t xml:space="preserve"> 0.2% absoluto.</w:t>
            </w:r>
          </w:p>
          <w:p w14:paraId="48198DF6" w14:textId="04FCDECE" w:rsidR="18865AD6" w:rsidRDefault="669F22CA"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Alimentador de Muestras</w:t>
            </w:r>
            <w:r w:rsidR="7152DC1D"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Auto-muestreador automático con capacidad para al menos 20 posiciones.</w:t>
            </w:r>
          </w:p>
          <w:p w14:paraId="42E7825D" w14:textId="0703E8E7" w:rsidR="18865AD6" w:rsidRDefault="669F22CA"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Gases Requeridos</w:t>
            </w:r>
            <w:r w:rsidR="373BCEFB"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Helio (portador) y Oxígeno (combustión) de alta pureza.</w:t>
            </w:r>
          </w:p>
          <w:p w14:paraId="23474B87" w14:textId="539F3CC5" w:rsidR="18865AD6" w:rsidRDefault="669F22CA"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Software de Control</w:t>
            </w:r>
            <w:r w:rsidR="4E12EB19"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Interfaz en PC para calibración, manejo de métodos, cálculo automático de porcentajes y exportación de datos.</w:t>
            </w:r>
          </w:p>
        </w:tc>
      </w:tr>
      <w:tr w:rsidR="18865AD6" w14:paraId="592A0208" w14:textId="77777777" w:rsidTr="3C234025">
        <w:trPr>
          <w:trHeight w:val="300"/>
        </w:trPr>
        <w:tc>
          <w:tcPr>
            <w:tcW w:w="615" w:type="dxa"/>
          </w:tcPr>
          <w:p w14:paraId="79A4775F" w14:textId="2E37A99D" w:rsidR="4FAB782F" w:rsidRDefault="4FAB782F" w:rsidP="18865AD6">
            <w:r>
              <w:t>7</w:t>
            </w:r>
          </w:p>
        </w:tc>
        <w:tc>
          <w:tcPr>
            <w:tcW w:w="5884" w:type="dxa"/>
          </w:tcPr>
          <w:p w14:paraId="5DC2589D" w14:textId="2BB87A12" w:rsidR="4FAB782F" w:rsidRDefault="4FAB782F" w:rsidP="18865AD6">
            <w:r>
              <w:rPr>
                <w:noProof/>
              </w:rPr>
              <w:drawing>
                <wp:inline distT="0" distB="0" distL="0" distR="0" wp14:anchorId="4E188EE6" wp14:editId="70E9FEB3">
                  <wp:extent cx="1457325" cy="1733550"/>
                  <wp:effectExtent l="0" t="0" r="0" b="0"/>
                  <wp:docPr id="3709221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922189" name="Picture 370922189"/>
                          <pic:cNvPicPr/>
                        </pic:nvPicPr>
                        <pic:blipFill>
                          <a:blip r:embed="rId120">
                            <a:extLst>
                              <a:ext uri="{28A0092B-C50C-407E-A947-70E740481C1C}">
                                <a14:useLocalDpi xmlns:a14="http://schemas.microsoft.com/office/drawing/2010/main"/>
                              </a:ext>
                            </a:extLst>
                          </a:blip>
                          <a:stretch>
                            <a:fillRect/>
                          </a:stretch>
                        </pic:blipFill>
                        <pic:spPr>
                          <a:xfrm>
                            <a:off x="0" y="0"/>
                            <a:ext cx="1457325" cy="1733550"/>
                          </a:xfrm>
                          <a:prstGeom prst="rect">
                            <a:avLst/>
                          </a:prstGeom>
                        </pic:spPr>
                      </pic:pic>
                    </a:graphicData>
                  </a:graphic>
                </wp:inline>
              </w:drawing>
            </w:r>
          </w:p>
          <w:p w14:paraId="11E789A0" w14:textId="0F86C618" w:rsidR="18865AD6" w:rsidRDefault="18865AD6" w:rsidP="18865AD6"/>
        </w:tc>
        <w:tc>
          <w:tcPr>
            <w:tcW w:w="3248" w:type="dxa"/>
          </w:tcPr>
          <w:p w14:paraId="3EA14636" w14:textId="7849DED0" w:rsidR="4FAB782F" w:rsidRDefault="4FAB782F" w:rsidP="18865AD6">
            <w:pPr>
              <w:rPr>
                <w:rFonts w:asciiTheme="minorHAnsi" w:eastAsiaTheme="minorEastAsia" w:hAnsiTheme="minorHAnsi" w:cstheme="minorBidi"/>
                <w:sz w:val="20"/>
                <w:szCs w:val="20"/>
              </w:rPr>
            </w:pPr>
            <w:r w:rsidRPr="18865AD6">
              <w:rPr>
                <w:rFonts w:asciiTheme="minorHAnsi" w:eastAsiaTheme="minorEastAsia" w:hAnsiTheme="minorHAnsi" w:cstheme="minorBidi"/>
                <w:b/>
                <w:bCs/>
                <w:sz w:val="20"/>
                <w:szCs w:val="20"/>
              </w:rPr>
              <w:t>Necesidad</w:t>
            </w:r>
            <w:r w:rsidRPr="18865AD6">
              <w:rPr>
                <w:rFonts w:asciiTheme="minorHAnsi" w:eastAsiaTheme="minorEastAsia" w:hAnsiTheme="minorHAnsi" w:cstheme="minorBidi"/>
                <w:sz w:val="20"/>
                <w:szCs w:val="20"/>
              </w:rPr>
              <w:t xml:space="preserve"> </w:t>
            </w:r>
          </w:p>
          <w:p w14:paraId="7A926909" w14:textId="07122DBC"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Horno de alta temperatura.</w:t>
            </w:r>
            <w:r w:rsidRPr="3C234025">
              <w:rPr>
                <w:rFonts w:asciiTheme="minorHAnsi" w:eastAsiaTheme="minorEastAsia" w:hAnsiTheme="minorHAnsi" w:cstheme="minorBidi"/>
                <w:sz w:val="20"/>
                <w:szCs w:val="20"/>
              </w:rPr>
              <w:t xml:space="preserve"> Horno de alta temperatura utilizado para determinar el contenido de cenizas y volátiles. </w:t>
            </w:r>
          </w:p>
          <w:p w14:paraId="31FA1CFD" w14:textId="1E91DA96" w:rsidR="18865AD6" w:rsidRDefault="18865AD6" w:rsidP="3C234025">
            <w:pPr>
              <w:jc w:val="both"/>
              <w:rPr>
                <w:rFonts w:asciiTheme="minorHAnsi" w:eastAsiaTheme="minorEastAsia" w:hAnsiTheme="minorHAnsi" w:cstheme="minorBidi"/>
                <w:b/>
                <w:bCs/>
                <w:sz w:val="20"/>
                <w:szCs w:val="20"/>
              </w:rPr>
            </w:pPr>
          </w:p>
          <w:p w14:paraId="44E2C4AE" w14:textId="280604FB"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3946C2B7" w14:textId="01C8D86D" w:rsidR="18865AD6" w:rsidRDefault="327F1BCE"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Temperatura Máxima 1100°C (para uso continuo a 1000°C).</w:t>
            </w:r>
          </w:p>
          <w:p w14:paraId="6DCF1D42" w14:textId="215D10E1" w:rsidR="18865AD6" w:rsidRDefault="327F1BCE"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Volumen de la Cámara</w:t>
            </w:r>
            <w:r w:rsidR="2DA1D1B7" w:rsidRPr="3C234025">
              <w:rPr>
                <w:rFonts w:asciiTheme="minorHAnsi" w:eastAsiaTheme="minorEastAsia" w:hAnsiTheme="minorHAnsi" w:cstheme="minorBidi"/>
                <w:sz w:val="20"/>
                <w:szCs w:val="20"/>
              </w:rPr>
              <w:t>: 5</w:t>
            </w:r>
            <w:r w:rsidRPr="3C234025">
              <w:rPr>
                <w:rFonts w:asciiTheme="minorHAnsi" w:eastAsiaTheme="minorEastAsia" w:hAnsiTheme="minorHAnsi" w:cstheme="minorBidi"/>
                <w:sz w:val="20"/>
                <w:szCs w:val="20"/>
              </w:rPr>
              <w:t xml:space="preserve"> litros (suficiente para varios crisoles de porcelana).</w:t>
            </w:r>
          </w:p>
          <w:p w14:paraId="6B440241" w14:textId="6B8A7480" w:rsidR="18865AD6" w:rsidRDefault="327F1BCE"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Control de Temperatura</w:t>
            </w:r>
            <w:r w:rsidR="63813798"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Microprocesador digital PID con rampas de calentamiento programables.</w:t>
            </w:r>
          </w:p>
          <w:p w14:paraId="56BE21A9" w14:textId="459B2C36" w:rsidR="18865AD6" w:rsidRDefault="327F1BCE"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Estabilidad Térmica</w:t>
            </w:r>
            <w:r w:rsidR="6CF532F9" w:rsidRPr="3C234025">
              <w:rPr>
                <w:rFonts w:asciiTheme="minorHAnsi" w:eastAsiaTheme="minorEastAsia" w:hAnsiTheme="minorHAnsi" w:cstheme="minorBidi"/>
                <w:sz w:val="20"/>
                <w:szCs w:val="20"/>
              </w:rPr>
              <w:t xml:space="preserve">: +/- </w:t>
            </w:r>
            <w:r w:rsidRPr="3C234025">
              <w:rPr>
                <w:rFonts w:asciiTheme="minorHAnsi" w:eastAsiaTheme="minorEastAsia" w:hAnsiTheme="minorHAnsi" w:cstheme="minorBidi"/>
                <w:sz w:val="20"/>
                <w:szCs w:val="20"/>
              </w:rPr>
              <w:t>1</w:t>
            </w:r>
            <w:r w:rsidR="4B5715C1" w:rsidRPr="3C234025">
              <w:rPr>
                <w:rFonts w:asciiTheme="minorHAnsi" w:eastAsiaTheme="minorEastAsia" w:hAnsiTheme="minorHAnsi" w:cstheme="minorBidi"/>
                <w:sz w:val="20"/>
                <w:szCs w:val="20"/>
              </w:rPr>
              <w:t>°</w:t>
            </w:r>
            <w:r w:rsidRPr="3C234025">
              <w:rPr>
                <w:rFonts w:asciiTheme="minorHAnsi" w:eastAsiaTheme="minorEastAsia" w:hAnsiTheme="minorHAnsi" w:cstheme="minorBidi"/>
                <w:sz w:val="20"/>
                <w:szCs w:val="20"/>
              </w:rPr>
              <w:t>C en estado estacionario.</w:t>
            </w:r>
          </w:p>
          <w:p w14:paraId="364026C4" w14:textId="73D3B4CC" w:rsidR="18865AD6" w:rsidRDefault="327F1BCE"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Material de la Cámara</w:t>
            </w:r>
            <w:r w:rsidR="66618031"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Fibra cerámica de alta densidad o ladrillo refractario de baja masa térmica.</w:t>
            </w:r>
          </w:p>
          <w:p w14:paraId="597AC4B2" w14:textId="5C4BF98D" w:rsidR="18865AD6" w:rsidRDefault="327F1BCE"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Seguridad</w:t>
            </w:r>
            <w:r w:rsidR="5E9D8E22"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Desconexión automática al abrir la puerta y protección contra rotura de termopar.</w:t>
            </w:r>
          </w:p>
          <w:p w14:paraId="218F4FC2" w14:textId="3CC639A2" w:rsidR="18865AD6" w:rsidRDefault="327F1BCE"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Tiempo de Calentamiento</w:t>
            </w:r>
            <w:r w:rsidR="2E1B67A7"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Rápido (alcanzar 1000</w:t>
            </w:r>
            <w:r w:rsidR="54D36A2E" w:rsidRPr="3C234025">
              <w:rPr>
                <w:rFonts w:asciiTheme="minorHAnsi" w:eastAsiaTheme="minorEastAsia" w:hAnsiTheme="minorHAnsi" w:cstheme="minorBidi"/>
                <w:sz w:val="20"/>
                <w:szCs w:val="20"/>
              </w:rPr>
              <w:t>°</w:t>
            </w:r>
            <w:r w:rsidRPr="3C234025">
              <w:rPr>
                <w:rFonts w:asciiTheme="minorHAnsi" w:eastAsiaTheme="minorEastAsia" w:hAnsiTheme="minorHAnsi" w:cstheme="minorBidi"/>
                <w:sz w:val="20"/>
                <w:szCs w:val="20"/>
              </w:rPr>
              <w:t>C en menos de 60 minutos)</w:t>
            </w:r>
            <w:r w:rsidR="1A569004" w:rsidRPr="3C234025">
              <w:rPr>
                <w:rFonts w:asciiTheme="minorHAnsi" w:eastAsiaTheme="minorEastAsia" w:hAnsiTheme="minorHAnsi" w:cstheme="minorBidi"/>
                <w:sz w:val="20"/>
                <w:szCs w:val="20"/>
              </w:rPr>
              <w:t>.</w:t>
            </w:r>
          </w:p>
        </w:tc>
      </w:tr>
      <w:tr w:rsidR="18865AD6" w14:paraId="58BA1AB0" w14:textId="77777777" w:rsidTr="3C234025">
        <w:trPr>
          <w:trHeight w:val="300"/>
        </w:trPr>
        <w:tc>
          <w:tcPr>
            <w:tcW w:w="615" w:type="dxa"/>
          </w:tcPr>
          <w:p w14:paraId="30DC4A2B" w14:textId="26996AB8" w:rsidR="4FAB782F" w:rsidRDefault="4FAB782F" w:rsidP="18865AD6">
            <w:r>
              <w:t>8</w:t>
            </w:r>
          </w:p>
        </w:tc>
        <w:tc>
          <w:tcPr>
            <w:tcW w:w="5884" w:type="dxa"/>
          </w:tcPr>
          <w:p w14:paraId="1B54AD93" w14:textId="27372810" w:rsidR="4FAB782F" w:rsidRDefault="4FAB782F" w:rsidP="18865AD6">
            <w:r>
              <w:rPr>
                <w:noProof/>
              </w:rPr>
              <w:drawing>
                <wp:inline distT="0" distB="0" distL="0" distR="0" wp14:anchorId="0B9014F4" wp14:editId="575BBC76">
                  <wp:extent cx="2133600" cy="1895475"/>
                  <wp:effectExtent l="0" t="0" r="0" b="0"/>
                  <wp:docPr id="8188656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65650" name="Picture 818865650"/>
                          <pic:cNvPicPr/>
                        </pic:nvPicPr>
                        <pic:blipFill>
                          <a:blip r:embed="rId121">
                            <a:extLst>
                              <a:ext uri="{28A0092B-C50C-407E-A947-70E740481C1C}">
                                <a14:useLocalDpi xmlns:a14="http://schemas.microsoft.com/office/drawing/2010/main"/>
                              </a:ext>
                            </a:extLst>
                          </a:blip>
                          <a:stretch>
                            <a:fillRect/>
                          </a:stretch>
                        </pic:blipFill>
                        <pic:spPr>
                          <a:xfrm>
                            <a:off x="0" y="0"/>
                            <a:ext cx="2133600" cy="1895475"/>
                          </a:xfrm>
                          <a:prstGeom prst="rect">
                            <a:avLst/>
                          </a:prstGeom>
                        </pic:spPr>
                      </pic:pic>
                    </a:graphicData>
                  </a:graphic>
                </wp:inline>
              </w:drawing>
            </w:r>
          </w:p>
        </w:tc>
        <w:tc>
          <w:tcPr>
            <w:tcW w:w="3248" w:type="dxa"/>
          </w:tcPr>
          <w:p w14:paraId="51C54389" w14:textId="7849DED0" w:rsidR="4FAB782F" w:rsidRDefault="4FAB782F" w:rsidP="18865AD6">
            <w:pPr>
              <w:rPr>
                <w:rFonts w:asciiTheme="minorHAnsi" w:eastAsiaTheme="minorEastAsia" w:hAnsiTheme="minorHAnsi" w:cstheme="minorBidi"/>
                <w:sz w:val="20"/>
                <w:szCs w:val="20"/>
              </w:rPr>
            </w:pPr>
            <w:r w:rsidRPr="18865AD6">
              <w:rPr>
                <w:rFonts w:asciiTheme="minorHAnsi" w:eastAsiaTheme="minorEastAsia" w:hAnsiTheme="minorHAnsi" w:cstheme="minorBidi"/>
                <w:b/>
                <w:bCs/>
                <w:sz w:val="20"/>
                <w:szCs w:val="20"/>
              </w:rPr>
              <w:t>Necesidad</w:t>
            </w:r>
            <w:r w:rsidRPr="18865AD6">
              <w:rPr>
                <w:rFonts w:asciiTheme="minorHAnsi" w:eastAsiaTheme="minorEastAsia" w:hAnsiTheme="minorHAnsi" w:cstheme="minorBidi"/>
                <w:sz w:val="20"/>
                <w:szCs w:val="20"/>
              </w:rPr>
              <w:t xml:space="preserve"> </w:t>
            </w:r>
          </w:p>
          <w:p w14:paraId="2AC823F3" w14:textId="26D999AB"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GC (Cromatografía de Gases).</w:t>
            </w:r>
            <w:r w:rsidRPr="3C234025">
              <w:rPr>
                <w:rFonts w:asciiTheme="minorHAnsi" w:eastAsiaTheme="minorEastAsia" w:hAnsiTheme="minorHAnsi" w:cstheme="minorBidi"/>
                <w:sz w:val="20"/>
                <w:szCs w:val="20"/>
              </w:rPr>
              <w:t xml:space="preserve"> Para el análisis de la composición del biogás o gases de pirólisis. </w:t>
            </w:r>
          </w:p>
          <w:p w14:paraId="72ACF515" w14:textId="1E91DA96" w:rsidR="18865AD6" w:rsidRDefault="18865AD6" w:rsidP="3C234025">
            <w:pPr>
              <w:jc w:val="both"/>
              <w:rPr>
                <w:rFonts w:asciiTheme="minorHAnsi" w:eastAsiaTheme="minorEastAsia" w:hAnsiTheme="minorHAnsi" w:cstheme="minorBidi"/>
                <w:b/>
                <w:bCs/>
                <w:sz w:val="20"/>
                <w:szCs w:val="20"/>
              </w:rPr>
            </w:pPr>
          </w:p>
          <w:p w14:paraId="4E2FEEF7" w14:textId="280604FB"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48FFB9A6" w14:textId="587BAFDE" w:rsidR="18865AD6" w:rsidRDefault="058BEEFD"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Configuración de Canales: Al menos 2 canales independientes para análisis simultáneo de gases permanentes e hidrocarburos ligeros.</w:t>
            </w:r>
          </w:p>
          <w:p w14:paraId="50CD2C19" w14:textId="47FEB912" w:rsidR="18865AD6" w:rsidRDefault="058BEEFD"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Detectores: TCD (Conductividad Térmica) para gases permanentes (H2, O2, N2, CO) y FID (Ionización de Llama) para hidrocarburos (CH4, C2H6, etc.).</w:t>
            </w:r>
          </w:p>
          <w:p w14:paraId="50C5584E" w14:textId="1AB691EC" w:rsidR="18865AD6" w:rsidRDefault="058BEEFD"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Horno de Columnas</w:t>
            </w:r>
            <w:r w:rsidR="2EBBD5E4"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Rango desde ambiente +5</w:t>
            </w:r>
            <w:r w:rsidR="2CB51CFF" w:rsidRPr="3C234025">
              <w:rPr>
                <w:rFonts w:asciiTheme="minorHAnsi" w:eastAsiaTheme="minorEastAsia" w:hAnsiTheme="minorHAnsi" w:cstheme="minorBidi"/>
                <w:sz w:val="20"/>
                <w:szCs w:val="20"/>
              </w:rPr>
              <w:t>°</w:t>
            </w:r>
            <w:r w:rsidRPr="3C234025">
              <w:rPr>
                <w:rFonts w:asciiTheme="minorHAnsi" w:eastAsiaTheme="minorEastAsia" w:hAnsiTheme="minorHAnsi" w:cstheme="minorBidi"/>
                <w:sz w:val="20"/>
                <w:szCs w:val="20"/>
              </w:rPr>
              <w:t>C hasta 400</w:t>
            </w:r>
            <w:r w:rsidR="0623F80D" w:rsidRPr="3C234025">
              <w:rPr>
                <w:rFonts w:asciiTheme="minorHAnsi" w:eastAsiaTheme="minorEastAsia" w:hAnsiTheme="minorHAnsi" w:cstheme="minorBidi"/>
                <w:sz w:val="20"/>
                <w:szCs w:val="20"/>
              </w:rPr>
              <w:t>°</w:t>
            </w:r>
            <w:r w:rsidRPr="3C234025">
              <w:rPr>
                <w:rFonts w:asciiTheme="minorHAnsi" w:eastAsiaTheme="minorEastAsia" w:hAnsiTheme="minorHAnsi" w:cstheme="minorBidi"/>
                <w:sz w:val="20"/>
                <w:szCs w:val="20"/>
              </w:rPr>
              <w:t>C. Resolución de 0.1</w:t>
            </w:r>
            <w:r w:rsidR="50886B1F" w:rsidRPr="3C234025">
              <w:rPr>
                <w:rFonts w:asciiTheme="minorHAnsi" w:eastAsiaTheme="minorEastAsia" w:hAnsiTheme="minorHAnsi" w:cstheme="minorBidi"/>
                <w:sz w:val="20"/>
                <w:szCs w:val="20"/>
              </w:rPr>
              <w:t>°</w:t>
            </w:r>
            <w:r w:rsidRPr="3C234025">
              <w:rPr>
                <w:rFonts w:asciiTheme="minorHAnsi" w:eastAsiaTheme="minorEastAsia" w:hAnsiTheme="minorHAnsi" w:cstheme="minorBidi"/>
                <w:sz w:val="20"/>
                <w:szCs w:val="20"/>
              </w:rPr>
              <w:t>C.</w:t>
            </w:r>
          </w:p>
          <w:p w14:paraId="5F380CBF" w14:textId="566B6AFC" w:rsidR="18865AD6" w:rsidRDefault="058BEEFD"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Control de Gases (EPC/PPC)</w:t>
            </w:r>
            <w:r w:rsidR="28567226"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 xml:space="preserve">Control electrónico de presión y flujo para gases portadores y de combustión con precisión de </w:t>
            </w:r>
            <w:r w:rsidR="6DD1CCEC" w:rsidRPr="3C234025">
              <w:rPr>
                <w:rFonts w:asciiTheme="minorHAnsi" w:eastAsiaTheme="minorEastAsia" w:hAnsiTheme="minorHAnsi" w:cstheme="minorBidi"/>
                <w:sz w:val="20"/>
                <w:szCs w:val="20"/>
              </w:rPr>
              <w:t>+/-</w:t>
            </w:r>
            <w:r w:rsidRPr="3C234025">
              <w:rPr>
                <w:rFonts w:asciiTheme="minorHAnsi" w:eastAsiaTheme="minorEastAsia" w:hAnsiTheme="minorHAnsi" w:cstheme="minorBidi"/>
                <w:sz w:val="20"/>
                <w:szCs w:val="20"/>
              </w:rPr>
              <w:t xml:space="preserve"> 0.01 psi.</w:t>
            </w:r>
          </w:p>
          <w:p w14:paraId="0B00CAD2" w14:textId="5DF12C6E" w:rsidR="18865AD6" w:rsidRDefault="70B292BB"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Generadores de gases: Plug and play.</w:t>
            </w:r>
            <w:r w:rsidR="18865AD6">
              <w:br/>
            </w:r>
            <w:r w:rsidR="058BEEFD" w:rsidRPr="3C234025">
              <w:rPr>
                <w:rFonts w:asciiTheme="minorHAnsi" w:eastAsiaTheme="minorEastAsia" w:hAnsiTheme="minorHAnsi" w:cstheme="minorBidi"/>
                <w:sz w:val="20"/>
                <w:szCs w:val="20"/>
              </w:rPr>
              <w:t>Sistema de Inyección</w:t>
            </w:r>
            <w:r w:rsidR="190FA2A0" w:rsidRPr="3C234025">
              <w:rPr>
                <w:rFonts w:asciiTheme="minorHAnsi" w:eastAsiaTheme="minorEastAsia" w:hAnsiTheme="minorHAnsi" w:cstheme="minorBidi"/>
                <w:sz w:val="20"/>
                <w:szCs w:val="20"/>
              </w:rPr>
              <w:t xml:space="preserve">: </w:t>
            </w:r>
            <w:r w:rsidR="058BEEFD" w:rsidRPr="3C234025">
              <w:rPr>
                <w:rFonts w:asciiTheme="minorHAnsi" w:eastAsiaTheme="minorEastAsia" w:hAnsiTheme="minorHAnsi" w:cstheme="minorBidi"/>
                <w:sz w:val="20"/>
                <w:szCs w:val="20"/>
              </w:rPr>
              <w:t>Puerto de inyección capilar (Split/Splitless) y válvula de muestreo de gases automática para línea de proceso.</w:t>
            </w:r>
          </w:p>
          <w:p w14:paraId="0E905C86" w14:textId="3B94F040" w:rsidR="18865AD6" w:rsidRDefault="058BEEFD"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Columnas Incluidas</w:t>
            </w:r>
            <w:r w:rsidR="11B60CFB"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Juego de columnas empaquetadas o capilares específicas para gases de refinería/biomasa (tipo Tamiz Molecular y Porapak/Plot Q).</w:t>
            </w:r>
          </w:p>
          <w:p w14:paraId="20EA01E1" w14:textId="39E228FC" w:rsidR="18865AD6" w:rsidRDefault="058BEEFD"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Software de Datos</w:t>
            </w:r>
            <w:r w:rsidR="103EB95C"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Estación de trabajo para integración de picos, calibración por estándares y generación de informes de composición molar</w:t>
            </w:r>
            <w:r w:rsidR="1A569004" w:rsidRPr="3C234025">
              <w:rPr>
                <w:rFonts w:asciiTheme="minorHAnsi" w:eastAsiaTheme="minorEastAsia" w:hAnsiTheme="minorHAnsi" w:cstheme="minorBidi"/>
                <w:sz w:val="20"/>
                <w:szCs w:val="20"/>
              </w:rPr>
              <w:t>.</w:t>
            </w:r>
          </w:p>
        </w:tc>
      </w:tr>
      <w:tr w:rsidR="18865AD6" w14:paraId="62E2787F" w14:textId="77777777" w:rsidTr="3C234025">
        <w:trPr>
          <w:trHeight w:val="300"/>
        </w:trPr>
        <w:tc>
          <w:tcPr>
            <w:tcW w:w="615" w:type="dxa"/>
          </w:tcPr>
          <w:p w14:paraId="4CF918DD" w14:textId="3B87D6A1" w:rsidR="4FAB782F" w:rsidRDefault="4FAB782F" w:rsidP="18865AD6">
            <w:r>
              <w:t>9</w:t>
            </w:r>
          </w:p>
        </w:tc>
        <w:tc>
          <w:tcPr>
            <w:tcW w:w="5884" w:type="dxa"/>
          </w:tcPr>
          <w:p w14:paraId="788291FC" w14:textId="34684B7C" w:rsidR="4FAB782F" w:rsidRDefault="4FAB782F" w:rsidP="18865AD6">
            <w:r>
              <w:rPr>
                <w:noProof/>
              </w:rPr>
              <w:drawing>
                <wp:inline distT="0" distB="0" distL="0" distR="0" wp14:anchorId="607B4773" wp14:editId="79E26803">
                  <wp:extent cx="1866900" cy="1562100"/>
                  <wp:effectExtent l="0" t="0" r="0" b="0"/>
                  <wp:docPr id="7440997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099723" name="Picture 744099723"/>
                          <pic:cNvPicPr/>
                        </pic:nvPicPr>
                        <pic:blipFill>
                          <a:blip r:embed="rId122">
                            <a:extLst>
                              <a:ext uri="{28A0092B-C50C-407E-A947-70E740481C1C}">
                                <a14:useLocalDpi xmlns:a14="http://schemas.microsoft.com/office/drawing/2010/main"/>
                              </a:ext>
                            </a:extLst>
                          </a:blip>
                          <a:stretch>
                            <a:fillRect/>
                          </a:stretch>
                        </pic:blipFill>
                        <pic:spPr>
                          <a:xfrm>
                            <a:off x="0" y="0"/>
                            <a:ext cx="1866900" cy="1562100"/>
                          </a:xfrm>
                          <a:prstGeom prst="rect">
                            <a:avLst/>
                          </a:prstGeom>
                        </pic:spPr>
                      </pic:pic>
                    </a:graphicData>
                  </a:graphic>
                </wp:inline>
              </w:drawing>
            </w:r>
          </w:p>
        </w:tc>
        <w:tc>
          <w:tcPr>
            <w:tcW w:w="3248" w:type="dxa"/>
          </w:tcPr>
          <w:p w14:paraId="14937A0B" w14:textId="7849DED0"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p>
          <w:p w14:paraId="19CE3AF2" w14:textId="66E00CA8"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HPLC (Cromatografía Líquida).</w:t>
            </w:r>
            <w:r w:rsidRPr="3C234025">
              <w:rPr>
                <w:rFonts w:asciiTheme="minorHAnsi" w:eastAsiaTheme="minorEastAsia" w:hAnsiTheme="minorHAnsi" w:cstheme="minorBidi"/>
                <w:sz w:val="20"/>
                <w:szCs w:val="20"/>
              </w:rPr>
              <w:t xml:space="preserve"> Crucial para determinar azúcares estructurales (celulosa, hemicelulosa) y lignina tras una hidrólisis. </w:t>
            </w:r>
          </w:p>
          <w:p w14:paraId="2C07DE91" w14:textId="1E91DA96" w:rsidR="18865AD6" w:rsidRDefault="18865AD6" w:rsidP="3C234025">
            <w:pPr>
              <w:jc w:val="both"/>
              <w:rPr>
                <w:rFonts w:asciiTheme="minorHAnsi" w:eastAsiaTheme="minorEastAsia" w:hAnsiTheme="minorHAnsi" w:cstheme="minorBidi"/>
                <w:b/>
                <w:bCs/>
                <w:sz w:val="20"/>
                <w:szCs w:val="20"/>
              </w:rPr>
            </w:pPr>
          </w:p>
          <w:p w14:paraId="5C65EEFD" w14:textId="280604FB"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2B45BB68" w14:textId="3DAEDCD1" w:rsidR="18865AD6" w:rsidRDefault="6CEA1843"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Configuración de Bomba: Sistema Isocrático o Cuaternario (para mezclas de gradiente) con un rango de flujo de 0.001 a 10.0 mL/min.</w:t>
            </w:r>
          </w:p>
          <w:p w14:paraId="64001AC6" w14:textId="6E54A7BE" w:rsidR="18865AD6" w:rsidRDefault="6CEA1843"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Detectores Recomendados</w:t>
            </w:r>
            <w:r w:rsidR="47F6FDAA"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RID (Índice de Refracción) para azúcares y PDA/UV-Vis para subproductos de degradación (furfural, HMF).</w:t>
            </w:r>
          </w:p>
          <w:p w14:paraId="07E3F129" w14:textId="5D4CF639" w:rsidR="18865AD6" w:rsidRDefault="6CEA1843"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Horno de Columnas</w:t>
            </w:r>
            <w:r w:rsidR="1BA5F1AB"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Rango desde ambiente +5</w:t>
            </w:r>
            <w:r w:rsidR="631E9F66" w:rsidRPr="3C234025">
              <w:rPr>
                <w:rFonts w:asciiTheme="minorHAnsi" w:eastAsiaTheme="minorEastAsia" w:hAnsiTheme="minorHAnsi" w:cstheme="minorBidi"/>
                <w:sz w:val="20"/>
                <w:szCs w:val="20"/>
              </w:rPr>
              <w:t>°</w:t>
            </w:r>
            <w:r w:rsidRPr="3C234025">
              <w:rPr>
                <w:rFonts w:asciiTheme="minorHAnsi" w:eastAsiaTheme="minorEastAsia" w:hAnsiTheme="minorHAnsi" w:cstheme="minorBidi"/>
                <w:sz w:val="20"/>
                <w:szCs w:val="20"/>
              </w:rPr>
              <w:t>C hasta 85</w:t>
            </w:r>
            <w:r w:rsidR="4670535F" w:rsidRPr="3C234025">
              <w:rPr>
                <w:rFonts w:asciiTheme="minorHAnsi" w:eastAsiaTheme="minorEastAsia" w:hAnsiTheme="minorHAnsi" w:cstheme="minorBidi"/>
                <w:sz w:val="20"/>
                <w:szCs w:val="20"/>
              </w:rPr>
              <w:t>°</w:t>
            </w:r>
            <w:r w:rsidRPr="3C234025">
              <w:rPr>
                <w:rFonts w:asciiTheme="minorHAnsi" w:eastAsiaTheme="minorEastAsia" w:hAnsiTheme="minorHAnsi" w:cstheme="minorBidi"/>
                <w:sz w:val="20"/>
                <w:szCs w:val="20"/>
              </w:rPr>
              <w:t xml:space="preserve">C. Estabilidad de </w:t>
            </w:r>
            <w:r w:rsidR="018A5B3D"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0.1</w:t>
            </w:r>
            <w:r w:rsidR="35DD7C53" w:rsidRPr="3C234025">
              <w:rPr>
                <w:rFonts w:asciiTheme="minorHAnsi" w:eastAsiaTheme="minorEastAsia" w:hAnsiTheme="minorHAnsi" w:cstheme="minorBidi"/>
                <w:sz w:val="20"/>
                <w:szCs w:val="20"/>
              </w:rPr>
              <w:t>°</w:t>
            </w:r>
            <w:r w:rsidRPr="3C234025">
              <w:rPr>
                <w:rFonts w:asciiTheme="minorHAnsi" w:eastAsiaTheme="minorEastAsia" w:hAnsiTheme="minorHAnsi" w:cstheme="minorBidi"/>
                <w:sz w:val="20"/>
                <w:szCs w:val="20"/>
              </w:rPr>
              <w:t>C (crítico para la separación de azúcares).</w:t>
            </w:r>
          </w:p>
          <w:p w14:paraId="7D9E3A1C" w14:textId="7C59D0C8" w:rsidR="18865AD6" w:rsidRDefault="6CEA1843"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Muestreador (Autosampler)</w:t>
            </w:r>
            <w:r w:rsidR="0665345B"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Automático con capacidad para al menos 50 viales y sistema de refrigeración de muestras.</w:t>
            </w:r>
          </w:p>
          <w:p w14:paraId="61C4B063" w14:textId="036863AC" w:rsidR="18865AD6" w:rsidRDefault="6CEA1843"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Rango de Presión</w:t>
            </w:r>
            <w:r w:rsidR="09823398"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Operación hasta 400 bar (aprox. 6000 psi) para HPLC convencional.</w:t>
            </w:r>
          </w:p>
          <w:p w14:paraId="1EC4B5C8" w14:textId="3C9A61C5" w:rsidR="18865AD6" w:rsidRDefault="6CEA1843"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Columnas Específicas</w:t>
            </w:r>
            <w:r w:rsidR="68E289AE"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Columnas de intercambio iónico (tipo Aminex HPX-87H o similares) especializadas en carbohidratos y ácidos orgánicos.</w:t>
            </w:r>
          </w:p>
          <w:p w14:paraId="72096A90" w14:textId="5419DF78" w:rsidR="18865AD6" w:rsidRDefault="6CEA1843"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Software de Control</w:t>
            </w:r>
            <w:r w:rsidR="24DF09B6"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Gestión de métodos, integración de cromatogramas y cumplimiento con protocolos de integridad de datos.</w:t>
            </w:r>
          </w:p>
        </w:tc>
      </w:tr>
      <w:tr w:rsidR="18865AD6" w14:paraId="35A57018" w14:textId="77777777" w:rsidTr="3C234025">
        <w:trPr>
          <w:trHeight w:val="300"/>
        </w:trPr>
        <w:tc>
          <w:tcPr>
            <w:tcW w:w="615" w:type="dxa"/>
          </w:tcPr>
          <w:p w14:paraId="006BAF65" w14:textId="64D8551F" w:rsidR="4FAB782F" w:rsidRDefault="4FAB782F" w:rsidP="18865AD6">
            <w:r>
              <w:t>10</w:t>
            </w:r>
          </w:p>
        </w:tc>
        <w:tc>
          <w:tcPr>
            <w:tcW w:w="5884" w:type="dxa"/>
          </w:tcPr>
          <w:p w14:paraId="4E86E1E9" w14:textId="55A6A652" w:rsidR="4FAB782F" w:rsidRDefault="4FAB782F" w:rsidP="18865AD6">
            <w:r>
              <w:rPr>
                <w:noProof/>
              </w:rPr>
              <w:drawing>
                <wp:inline distT="0" distB="0" distL="0" distR="0" wp14:anchorId="68FAFADF" wp14:editId="4A049D3B">
                  <wp:extent cx="1485900" cy="1485900"/>
                  <wp:effectExtent l="0" t="0" r="0" b="0"/>
                  <wp:docPr id="11615201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520112" name="Picture 1161520112"/>
                          <pic:cNvPicPr/>
                        </pic:nvPicPr>
                        <pic:blipFill>
                          <a:blip r:embed="rId123">
                            <a:extLst>
                              <a:ext uri="{28A0092B-C50C-407E-A947-70E740481C1C}">
                                <a14:useLocalDpi xmlns:a14="http://schemas.microsoft.com/office/drawing/2010/main"/>
                              </a:ext>
                            </a:extLst>
                          </a:blip>
                          <a:stretch>
                            <a:fillRect/>
                          </a:stretch>
                        </pic:blipFill>
                        <pic:spPr>
                          <a:xfrm>
                            <a:off x="0" y="0"/>
                            <a:ext cx="1485900" cy="1485900"/>
                          </a:xfrm>
                          <a:prstGeom prst="rect">
                            <a:avLst/>
                          </a:prstGeom>
                        </pic:spPr>
                      </pic:pic>
                    </a:graphicData>
                  </a:graphic>
                </wp:inline>
              </w:drawing>
            </w:r>
          </w:p>
          <w:p w14:paraId="166E6469" w14:textId="02D1F282" w:rsidR="18865AD6" w:rsidRDefault="18865AD6" w:rsidP="18865AD6"/>
        </w:tc>
        <w:tc>
          <w:tcPr>
            <w:tcW w:w="3248" w:type="dxa"/>
          </w:tcPr>
          <w:p w14:paraId="19F4578C" w14:textId="7849DED0" w:rsidR="4FAB782F" w:rsidRDefault="4FAB782F" w:rsidP="18865AD6">
            <w:pPr>
              <w:rPr>
                <w:rFonts w:asciiTheme="minorHAnsi" w:eastAsiaTheme="minorEastAsia" w:hAnsiTheme="minorHAnsi" w:cstheme="minorBidi"/>
                <w:sz w:val="20"/>
                <w:szCs w:val="20"/>
              </w:rPr>
            </w:pPr>
            <w:r w:rsidRPr="18865AD6">
              <w:rPr>
                <w:rFonts w:asciiTheme="minorHAnsi" w:eastAsiaTheme="minorEastAsia" w:hAnsiTheme="minorHAnsi" w:cstheme="minorBidi"/>
                <w:b/>
                <w:bCs/>
                <w:sz w:val="20"/>
                <w:szCs w:val="20"/>
              </w:rPr>
              <w:t>Necesidad</w:t>
            </w:r>
            <w:r w:rsidRPr="18865AD6">
              <w:rPr>
                <w:rFonts w:asciiTheme="minorHAnsi" w:eastAsiaTheme="minorEastAsia" w:hAnsiTheme="minorHAnsi" w:cstheme="minorBidi"/>
                <w:sz w:val="20"/>
                <w:szCs w:val="20"/>
              </w:rPr>
              <w:t xml:space="preserve"> </w:t>
            </w:r>
          </w:p>
          <w:p w14:paraId="4EB8E8A3" w14:textId="13E5D19C"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Analizador Termogravimétrico.</w:t>
            </w:r>
            <w:r w:rsidRPr="3C234025">
              <w:rPr>
                <w:rFonts w:asciiTheme="minorHAnsi" w:eastAsiaTheme="minorEastAsia" w:hAnsiTheme="minorHAnsi" w:cstheme="minorBidi"/>
                <w:sz w:val="20"/>
                <w:szCs w:val="20"/>
              </w:rPr>
              <w:t xml:space="preserve"> Permite estudiar la degradación térmica de la biomasa en función de la temperatura y el tiempo bajo atmósferas controladas. </w:t>
            </w:r>
          </w:p>
          <w:p w14:paraId="0AF4D618" w14:textId="1E91DA96" w:rsidR="18865AD6" w:rsidRDefault="18865AD6" w:rsidP="3C234025">
            <w:pPr>
              <w:jc w:val="both"/>
              <w:rPr>
                <w:rFonts w:asciiTheme="minorHAnsi" w:eastAsiaTheme="minorEastAsia" w:hAnsiTheme="minorHAnsi" w:cstheme="minorBidi"/>
                <w:b/>
                <w:bCs/>
                <w:sz w:val="20"/>
                <w:szCs w:val="20"/>
              </w:rPr>
            </w:pPr>
          </w:p>
          <w:p w14:paraId="259CA82F" w14:textId="280604FB"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06215917" w14:textId="7391884B" w:rsidR="18865AD6" w:rsidRDefault="486B2FAE"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Rango de Temperatura: Desde temperatura ambiente hasta 1000 °C.</w:t>
            </w:r>
          </w:p>
          <w:p w14:paraId="339C8221" w14:textId="62633D7D" w:rsidR="18865AD6" w:rsidRDefault="486B2FAE"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Velocidad de Calentamiento: Ajustable desde 0.1°C/min hasta 100</w:t>
            </w:r>
            <w:r w:rsidR="7DA7F3B3" w:rsidRPr="3C234025">
              <w:rPr>
                <w:rFonts w:asciiTheme="minorHAnsi" w:eastAsiaTheme="minorEastAsia" w:hAnsiTheme="minorHAnsi" w:cstheme="minorBidi"/>
                <w:sz w:val="20"/>
                <w:szCs w:val="20"/>
              </w:rPr>
              <w:t>°</w:t>
            </w:r>
            <w:r w:rsidRPr="3C234025">
              <w:rPr>
                <w:rFonts w:asciiTheme="minorHAnsi" w:eastAsiaTheme="minorEastAsia" w:hAnsiTheme="minorHAnsi" w:cstheme="minorBidi"/>
                <w:sz w:val="20"/>
                <w:szCs w:val="20"/>
              </w:rPr>
              <w:t>C/min.</w:t>
            </w:r>
          </w:p>
          <w:p w14:paraId="0EE082F0" w14:textId="6A5A97DF" w:rsidR="18865AD6" w:rsidRDefault="486B2FAE"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Sensibilidad de la Balanza</w:t>
            </w:r>
            <w:r w:rsidR="723BA6DD" w:rsidRPr="3C234025">
              <w:rPr>
                <w:rFonts w:asciiTheme="minorHAnsi" w:eastAsiaTheme="minorEastAsia" w:hAnsiTheme="minorHAnsi" w:cstheme="minorBidi"/>
                <w:sz w:val="20"/>
                <w:szCs w:val="20"/>
              </w:rPr>
              <w:t>: &lt;=</w:t>
            </w:r>
            <w:r w:rsidRPr="3C234025">
              <w:rPr>
                <w:rFonts w:asciiTheme="minorHAnsi" w:eastAsiaTheme="minorEastAsia" w:hAnsiTheme="minorHAnsi" w:cstheme="minorBidi"/>
                <w:sz w:val="20"/>
                <w:szCs w:val="20"/>
              </w:rPr>
              <w:t xml:space="preserve"> 0.1 microgramos.</w:t>
            </w:r>
          </w:p>
          <w:p w14:paraId="1A35BA3A" w14:textId="48031B30" w:rsidR="18865AD6" w:rsidRDefault="486B2FAE"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Capacidad de la Balanza</w:t>
            </w:r>
            <w:r w:rsidR="7605E35A"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Hasta 1 g (para permitir muestras de biomasa representativas).</w:t>
            </w:r>
          </w:p>
          <w:p w14:paraId="39C96730" w14:textId="7450FC9E" w:rsidR="18865AD6" w:rsidRDefault="486B2FAE"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Atmósferas de Trabajo</w:t>
            </w:r>
            <w:r w:rsidR="4E63FFF5"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Control de flujo de gas mediante MFC (Mass Flow Controllers) para gases inertes (N</w:t>
            </w:r>
            <w:r w:rsidR="1A035E0F" w:rsidRPr="3C234025">
              <w:rPr>
                <w:rFonts w:asciiTheme="minorHAnsi" w:eastAsiaTheme="minorEastAsia" w:hAnsiTheme="minorHAnsi" w:cstheme="minorBidi"/>
                <w:sz w:val="20"/>
                <w:szCs w:val="20"/>
              </w:rPr>
              <w:t>2</w:t>
            </w:r>
            <w:r w:rsidRPr="3C234025">
              <w:rPr>
                <w:rFonts w:asciiTheme="minorHAnsi" w:eastAsiaTheme="minorEastAsia" w:hAnsiTheme="minorHAnsi" w:cstheme="minorBidi"/>
                <w:sz w:val="20"/>
                <w:szCs w:val="20"/>
              </w:rPr>
              <w:t>, Ar) y oxidantes (Aire,</w:t>
            </w:r>
            <w:r w:rsidR="583C31CF"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O2).</w:t>
            </w:r>
          </w:p>
          <w:p w14:paraId="11F612D2" w14:textId="7F2FAF05" w:rsidR="18865AD6" w:rsidRDefault="486B2FAE"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Precisión de Temperatura</w:t>
            </w:r>
            <w:r w:rsidR="00461D5E" w:rsidRPr="3C234025">
              <w:rPr>
                <w:rFonts w:asciiTheme="minorHAnsi" w:eastAsiaTheme="minorEastAsia" w:hAnsiTheme="minorHAnsi" w:cstheme="minorBidi"/>
                <w:sz w:val="20"/>
                <w:szCs w:val="20"/>
              </w:rPr>
              <w:t xml:space="preserve">: +/- </w:t>
            </w:r>
            <w:r w:rsidRPr="3C234025">
              <w:rPr>
                <w:rFonts w:asciiTheme="minorHAnsi" w:eastAsiaTheme="minorEastAsia" w:hAnsiTheme="minorHAnsi" w:cstheme="minorBidi"/>
                <w:sz w:val="20"/>
                <w:szCs w:val="20"/>
              </w:rPr>
              <w:t>0.5</w:t>
            </w:r>
            <w:r w:rsidR="22E32726" w:rsidRPr="3C234025">
              <w:rPr>
                <w:rFonts w:asciiTheme="minorHAnsi" w:eastAsiaTheme="minorEastAsia" w:hAnsiTheme="minorHAnsi" w:cstheme="minorBidi"/>
                <w:sz w:val="20"/>
                <w:szCs w:val="20"/>
              </w:rPr>
              <w:t>°</w:t>
            </w:r>
            <w:r w:rsidRPr="3C234025">
              <w:rPr>
                <w:rFonts w:asciiTheme="minorHAnsi" w:eastAsiaTheme="minorEastAsia" w:hAnsiTheme="minorHAnsi" w:cstheme="minorBidi"/>
                <w:sz w:val="20"/>
                <w:szCs w:val="20"/>
              </w:rPr>
              <w:t>C.</w:t>
            </w:r>
          </w:p>
          <w:p w14:paraId="044476EC" w14:textId="1210DB64" w:rsidR="18865AD6" w:rsidRDefault="486B2FAE"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Enfriamiento</w:t>
            </w:r>
            <w:r w:rsidR="08EB31B7"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Sistema de enfriamiento rápido por aire o agua para reducir el tiempo entre ensayos.</w:t>
            </w:r>
            <w:r w:rsidR="01DED2E2" w:rsidRPr="3C234025">
              <w:rPr>
                <w:rFonts w:asciiTheme="minorHAnsi" w:eastAsiaTheme="minorEastAsia" w:hAnsiTheme="minorHAnsi" w:cstheme="minorBidi"/>
                <w:sz w:val="20"/>
                <w:szCs w:val="20"/>
              </w:rPr>
              <w:t xml:space="preserve"> </w:t>
            </w:r>
          </w:p>
          <w:p w14:paraId="2276F641" w14:textId="50EB728F" w:rsidR="18865AD6" w:rsidRDefault="486B2FAE"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Software de Análisis</w:t>
            </w:r>
            <w:r w:rsidR="399DEC77"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Cálculo automático de derivadas (DTG), temperaturas de inicio de degradación (T</w:t>
            </w:r>
            <w:r w:rsidR="75606362"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onset) y análisis de pasos de pérdida de masa</w:t>
            </w:r>
            <w:r w:rsidR="1A569004" w:rsidRPr="3C234025">
              <w:rPr>
                <w:rFonts w:asciiTheme="minorHAnsi" w:eastAsiaTheme="minorEastAsia" w:hAnsiTheme="minorHAnsi" w:cstheme="minorBidi"/>
                <w:sz w:val="20"/>
                <w:szCs w:val="20"/>
              </w:rPr>
              <w:t>.</w:t>
            </w:r>
          </w:p>
        </w:tc>
      </w:tr>
      <w:tr w:rsidR="18865AD6" w14:paraId="17EEA7B2" w14:textId="77777777" w:rsidTr="3C234025">
        <w:trPr>
          <w:trHeight w:val="300"/>
        </w:trPr>
        <w:tc>
          <w:tcPr>
            <w:tcW w:w="615" w:type="dxa"/>
          </w:tcPr>
          <w:p w14:paraId="55648524" w14:textId="3C4D6F91" w:rsidR="4FAB782F" w:rsidRDefault="4FAB782F" w:rsidP="18865AD6">
            <w:r>
              <w:t>11</w:t>
            </w:r>
          </w:p>
        </w:tc>
        <w:tc>
          <w:tcPr>
            <w:tcW w:w="5884" w:type="dxa"/>
          </w:tcPr>
          <w:p w14:paraId="4C9E4B66" w14:textId="5003CE3D" w:rsidR="4FAB782F" w:rsidRDefault="4FAB782F" w:rsidP="18865AD6">
            <w:r>
              <w:rPr>
                <w:noProof/>
              </w:rPr>
              <w:drawing>
                <wp:inline distT="0" distB="0" distL="0" distR="0" wp14:anchorId="05C31331" wp14:editId="39CBA2BF">
                  <wp:extent cx="733425" cy="1600200"/>
                  <wp:effectExtent l="0" t="0" r="0" b="0"/>
                  <wp:docPr id="660314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1422" name="Picture 66031422"/>
                          <pic:cNvPicPr/>
                        </pic:nvPicPr>
                        <pic:blipFill>
                          <a:blip r:embed="rId124">
                            <a:extLst>
                              <a:ext uri="{28A0092B-C50C-407E-A947-70E740481C1C}">
                                <a14:useLocalDpi xmlns:a14="http://schemas.microsoft.com/office/drawing/2010/main"/>
                              </a:ext>
                            </a:extLst>
                          </a:blip>
                          <a:stretch>
                            <a:fillRect/>
                          </a:stretch>
                        </pic:blipFill>
                        <pic:spPr>
                          <a:xfrm>
                            <a:off x="0" y="0"/>
                            <a:ext cx="733425" cy="1600200"/>
                          </a:xfrm>
                          <a:prstGeom prst="rect">
                            <a:avLst/>
                          </a:prstGeom>
                        </pic:spPr>
                      </pic:pic>
                    </a:graphicData>
                  </a:graphic>
                </wp:inline>
              </w:drawing>
            </w:r>
          </w:p>
          <w:p w14:paraId="4381A455" w14:textId="23857A6F" w:rsidR="18865AD6" w:rsidRDefault="18865AD6" w:rsidP="18865AD6"/>
        </w:tc>
        <w:tc>
          <w:tcPr>
            <w:tcW w:w="3248" w:type="dxa"/>
          </w:tcPr>
          <w:p w14:paraId="19CA03E2" w14:textId="7849DED0" w:rsidR="4FAB782F" w:rsidRDefault="4FAB782F" w:rsidP="18865AD6">
            <w:pPr>
              <w:rPr>
                <w:rFonts w:asciiTheme="minorHAnsi" w:eastAsiaTheme="minorEastAsia" w:hAnsiTheme="minorHAnsi" w:cstheme="minorBidi"/>
                <w:sz w:val="20"/>
                <w:szCs w:val="20"/>
              </w:rPr>
            </w:pPr>
            <w:r w:rsidRPr="18865AD6">
              <w:rPr>
                <w:rFonts w:asciiTheme="minorHAnsi" w:eastAsiaTheme="minorEastAsia" w:hAnsiTheme="minorHAnsi" w:cstheme="minorBidi"/>
                <w:b/>
                <w:bCs/>
                <w:sz w:val="20"/>
                <w:szCs w:val="20"/>
              </w:rPr>
              <w:t>Necesidad</w:t>
            </w:r>
            <w:r w:rsidRPr="18865AD6">
              <w:rPr>
                <w:rFonts w:asciiTheme="minorHAnsi" w:eastAsiaTheme="minorEastAsia" w:hAnsiTheme="minorHAnsi" w:cstheme="minorBidi"/>
                <w:sz w:val="20"/>
                <w:szCs w:val="20"/>
              </w:rPr>
              <w:t xml:space="preserve"> </w:t>
            </w:r>
          </w:p>
          <w:p w14:paraId="0304493F" w14:textId="6A5A83DC"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Reactores de Pirólisis/Gasificación.</w:t>
            </w:r>
            <w:r w:rsidRPr="3C234025">
              <w:rPr>
                <w:rFonts w:asciiTheme="minorHAnsi" w:eastAsiaTheme="minorEastAsia" w:hAnsiTheme="minorHAnsi" w:cstheme="minorBidi"/>
                <w:sz w:val="20"/>
                <w:szCs w:val="20"/>
              </w:rPr>
              <w:t xml:space="preserve"> Equipos de laboratorio para estudiar la descomposición térmica de la biomasa y obtener bio-oil, syngas o biocarbón (biochar). </w:t>
            </w:r>
          </w:p>
          <w:p w14:paraId="6079CE1E" w14:textId="1E91DA96" w:rsidR="18865AD6" w:rsidRDefault="18865AD6" w:rsidP="3C234025">
            <w:pPr>
              <w:jc w:val="both"/>
              <w:rPr>
                <w:rFonts w:asciiTheme="minorHAnsi" w:eastAsiaTheme="minorEastAsia" w:hAnsiTheme="minorHAnsi" w:cstheme="minorBidi"/>
                <w:b/>
                <w:bCs/>
                <w:sz w:val="20"/>
                <w:szCs w:val="20"/>
              </w:rPr>
            </w:pPr>
          </w:p>
          <w:p w14:paraId="5A087D3D" w14:textId="280604FB"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77CD16FB" w14:textId="067A4185" w:rsidR="18865AD6" w:rsidRDefault="6E0022A9"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Tipo de Reactor: Lecho fijo (updraft o downdraft) o lecho fluidizado. Construido en acero inoxidable refractario (AISI 310 o similar).</w:t>
            </w:r>
          </w:p>
          <w:p w14:paraId="65CB24DF" w14:textId="02AF9342" w:rsidR="18865AD6" w:rsidRDefault="6E0022A9"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Temperatura de Operación: Hasta 1000°C °C, con control PID multizona.</w:t>
            </w:r>
          </w:p>
          <w:p w14:paraId="68B229BE" w14:textId="297A5FAB" w:rsidR="18865AD6" w:rsidRDefault="6E0022A9"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Alimentación de Biomasa</w:t>
            </w:r>
            <w:r w:rsidR="220279FD"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Sistema automático de tornillo sinfín con velocidad variable y sello de nitrógeno para evitar entrada de aire.</w:t>
            </w:r>
          </w:p>
          <w:p w14:paraId="37CEA139" w14:textId="1CC3671E" w:rsidR="18865AD6" w:rsidRDefault="6E0022A9"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Potencia Térmica</w:t>
            </w:r>
            <w:r w:rsidR="41E7E8A8"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Entre 5 kW y 10 kW (suficiente para demostración sin ser peligroso).</w:t>
            </w:r>
          </w:p>
          <w:p w14:paraId="241431DB" w14:textId="62F8144F" w:rsidR="18865AD6" w:rsidRDefault="6E0022A9"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de Limpieza de Gas</w:t>
            </w:r>
            <w:r w:rsidR="31E2F41D"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Incluye Ciclón (separación de partículas), condensador de alquitranes (tar trap) y filtro de seguridad.</w:t>
            </w:r>
          </w:p>
          <w:p w14:paraId="66C729D8" w14:textId="097ACE75" w:rsidR="18865AD6" w:rsidRDefault="6E0022A9"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Sensores e Instrumentación</w:t>
            </w:r>
            <w:r w:rsidR="2F79E3D4"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Termopares tipo K en múltiples puntos del reactor, medidores de flujo de aire/vapor, transductores de presión y analizador de gas integrado o salida para GC.</w:t>
            </w:r>
          </w:p>
          <w:p w14:paraId="42F3102F" w14:textId="7CAA18A8" w:rsidR="18865AD6" w:rsidRDefault="6E0022A9"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Interfaz de Control</w:t>
            </w:r>
            <w:r w:rsidR="3D0CFE6B"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Sistema SCADA para control desde PC, con registro de datos, control de alarmas y paradas de emergencia.</w:t>
            </w:r>
          </w:p>
        </w:tc>
      </w:tr>
      <w:tr w:rsidR="18865AD6" w14:paraId="2C87DEFA" w14:textId="77777777" w:rsidTr="3C234025">
        <w:trPr>
          <w:trHeight w:val="300"/>
        </w:trPr>
        <w:tc>
          <w:tcPr>
            <w:tcW w:w="615" w:type="dxa"/>
          </w:tcPr>
          <w:p w14:paraId="7AF212E5" w14:textId="5C40F4BB" w:rsidR="4FAB782F" w:rsidRDefault="4FAB782F" w:rsidP="18865AD6">
            <w:r>
              <w:t>12</w:t>
            </w:r>
          </w:p>
        </w:tc>
        <w:tc>
          <w:tcPr>
            <w:tcW w:w="5884" w:type="dxa"/>
          </w:tcPr>
          <w:p w14:paraId="106BC624" w14:textId="6BD586BA" w:rsidR="4FAB782F" w:rsidRDefault="4FAB782F" w:rsidP="18865AD6">
            <w:r>
              <w:rPr>
                <w:noProof/>
              </w:rPr>
              <w:drawing>
                <wp:inline distT="0" distB="0" distL="0" distR="0" wp14:anchorId="2A54BDAC" wp14:editId="3BC304C1">
                  <wp:extent cx="2505075" cy="1685925"/>
                  <wp:effectExtent l="0" t="0" r="0" b="0"/>
                  <wp:docPr id="5873619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361915" name="Picture 587361915"/>
                          <pic:cNvPicPr/>
                        </pic:nvPicPr>
                        <pic:blipFill>
                          <a:blip r:embed="rId125">
                            <a:extLst>
                              <a:ext uri="{28A0092B-C50C-407E-A947-70E740481C1C}">
                                <a14:useLocalDpi xmlns:a14="http://schemas.microsoft.com/office/drawing/2010/main"/>
                              </a:ext>
                            </a:extLst>
                          </a:blip>
                          <a:stretch>
                            <a:fillRect/>
                          </a:stretch>
                        </pic:blipFill>
                        <pic:spPr>
                          <a:xfrm>
                            <a:off x="0" y="0"/>
                            <a:ext cx="2505075" cy="1685925"/>
                          </a:xfrm>
                          <a:prstGeom prst="rect">
                            <a:avLst/>
                          </a:prstGeom>
                        </pic:spPr>
                      </pic:pic>
                    </a:graphicData>
                  </a:graphic>
                </wp:inline>
              </w:drawing>
            </w:r>
          </w:p>
        </w:tc>
        <w:tc>
          <w:tcPr>
            <w:tcW w:w="3248" w:type="dxa"/>
          </w:tcPr>
          <w:p w14:paraId="2D38DC39" w14:textId="7849DED0" w:rsidR="4FAB782F" w:rsidRDefault="4FAB782F" w:rsidP="18865AD6">
            <w:pPr>
              <w:rPr>
                <w:rFonts w:asciiTheme="minorHAnsi" w:eastAsiaTheme="minorEastAsia" w:hAnsiTheme="minorHAnsi" w:cstheme="minorBidi"/>
                <w:sz w:val="20"/>
                <w:szCs w:val="20"/>
              </w:rPr>
            </w:pPr>
            <w:r w:rsidRPr="18865AD6">
              <w:rPr>
                <w:rFonts w:asciiTheme="minorHAnsi" w:eastAsiaTheme="minorEastAsia" w:hAnsiTheme="minorHAnsi" w:cstheme="minorBidi"/>
                <w:b/>
                <w:bCs/>
                <w:sz w:val="20"/>
                <w:szCs w:val="20"/>
              </w:rPr>
              <w:t>Necesidad</w:t>
            </w:r>
            <w:r w:rsidRPr="18865AD6">
              <w:rPr>
                <w:rFonts w:asciiTheme="minorHAnsi" w:eastAsiaTheme="minorEastAsia" w:hAnsiTheme="minorHAnsi" w:cstheme="minorBidi"/>
                <w:sz w:val="20"/>
                <w:szCs w:val="20"/>
              </w:rPr>
              <w:t xml:space="preserve"> </w:t>
            </w:r>
          </w:p>
          <w:p w14:paraId="76F90B14" w14:textId="6F14FF37"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Prensa de Pellets o Briquetadora.</w:t>
            </w:r>
            <w:r w:rsidRPr="3C234025">
              <w:rPr>
                <w:rFonts w:asciiTheme="minorHAnsi" w:eastAsiaTheme="minorEastAsia" w:hAnsiTheme="minorHAnsi" w:cstheme="minorBidi"/>
                <w:sz w:val="20"/>
                <w:szCs w:val="20"/>
              </w:rPr>
              <w:t xml:space="preserve"> Para producir biocombustibles densificados y evaluar su durabilidad mecánica y densidad. </w:t>
            </w:r>
          </w:p>
          <w:p w14:paraId="02BE11CF" w14:textId="1E91DA96" w:rsidR="18865AD6" w:rsidRDefault="18865AD6" w:rsidP="3C234025">
            <w:pPr>
              <w:jc w:val="both"/>
              <w:rPr>
                <w:rFonts w:asciiTheme="minorHAnsi" w:eastAsiaTheme="minorEastAsia" w:hAnsiTheme="minorHAnsi" w:cstheme="minorBidi"/>
                <w:b/>
                <w:bCs/>
                <w:sz w:val="20"/>
                <w:szCs w:val="20"/>
              </w:rPr>
            </w:pPr>
          </w:p>
          <w:p w14:paraId="738355F7" w14:textId="280604FB"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387BE637" w14:textId="1E5C4410" w:rsidR="18865AD6" w:rsidRDefault="0640B035"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Tipo de Prensa</w:t>
            </w:r>
            <w:r w:rsidR="5CC1934F" w:rsidRPr="3C234025">
              <w:rPr>
                <w:rFonts w:asciiTheme="minorHAnsi" w:eastAsiaTheme="minorEastAsia" w:hAnsiTheme="minorHAnsi" w:cstheme="minorBidi"/>
                <w:sz w:val="20"/>
                <w:szCs w:val="20"/>
              </w:rPr>
              <w:t xml:space="preserve">: </w:t>
            </w:r>
            <w:r w:rsidR="42F155AE" w:rsidRPr="3C234025">
              <w:rPr>
                <w:rFonts w:asciiTheme="minorHAnsi" w:eastAsiaTheme="minorEastAsia" w:hAnsiTheme="minorHAnsi" w:cstheme="minorBidi"/>
                <w:sz w:val="20"/>
                <w:szCs w:val="20"/>
              </w:rPr>
              <w:t>T</w:t>
            </w:r>
            <w:r w:rsidRPr="3C234025">
              <w:rPr>
                <w:rFonts w:asciiTheme="minorHAnsi" w:eastAsiaTheme="minorEastAsia" w:hAnsiTheme="minorHAnsi" w:cstheme="minorBidi"/>
                <w:sz w:val="20"/>
                <w:szCs w:val="20"/>
              </w:rPr>
              <w:t>ornillo extrusor. Diseño robusto de sobremesa.</w:t>
            </w:r>
          </w:p>
          <w:p w14:paraId="4E604841" w14:textId="533C782F" w:rsidR="18865AD6" w:rsidRDefault="0640B035"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Capacidad de Producción</w:t>
            </w:r>
            <w:r w:rsidR="4459B697"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30 kg/h (escala piloto/didáctica).</w:t>
            </w:r>
          </w:p>
          <w:p w14:paraId="44AB55B6" w14:textId="2D666338" w:rsidR="18865AD6" w:rsidRDefault="0640B035"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Diámetro del Pellet</w:t>
            </w:r>
            <w:r w:rsidR="49C204D4"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Intercambiable, típicamente 6 mm y 8 mm (estándar internacional).</w:t>
            </w:r>
          </w:p>
          <w:p w14:paraId="695DA0D2" w14:textId="6247C6CC" w:rsidR="18865AD6" w:rsidRDefault="0640B035"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Sistema de Calentamiento</w:t>
            </w:r>
            <w:r w:rsidR="2A418051"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Resistencias eléctricas integradas en la matriz para facilitar la plastificación de la lignina.</w:t>
            </w:r>
          </w:p>
          <w:p w14:paraId="7BBF721E" w14:textId="59F6461C" w:rsidR="18865AD6" w:rsidRDefault="0640B035"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Material de los Rodillos/Matriz</w:t>
            </w:r>
            <w:r w:rsidR="14F2CEBC"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Acero aleado tratado térmicamente para alta resistencia a la abrasión.</w:t>
            </w:r>
          </w:p>
          <w:p w14:paraId="61778543" w14:textId="3D8F5F1F" w:rsidR="18865AD6" w:rsidRDefault="0640B035"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Seguridad</w:t>
            </w:r>
            <w:r w:rsidR="6F291ABC"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Rejilla de protección en la tolva, parada de emergencia y protección contra sobrecarga del motor.</w:t>
            </w:r>
          </w:p>
          <w:p w14:paraId="6C5293BF" w14:textId="68CE017C" w:rsidR="18865AD6" w:rsidRDefault="0640B035"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Motor</w:t>
            </w:r>
            <w:r w:rsidR="6043A1D0"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 xml:space="preserve">Eléctrico, trifásico o monofásico (aprox. </w:t>
            </w:r>
            <w:r w:rsidR="34B68261" w:rsidRPr="3C234025">
              <w:rPr>
                <w:rFonts w:asciiTheme="minorHAnsi" w:eastAsiaTheme="minorEastAsia" w:hAnsiTheme="minorHAnsi" w:cstheme="minorBidi"/>
                <w:sz w:val="20"/>
                <w:szCs w:val="20"/>
              </w:rPr>
              <w:t>2</w:t>
            </w:r>
            <w:r w:rsidRPr="3C234025">
              <w:rPr>
                <w:rFonts w:asciiTheme="minorHAnsi" w:eastAsiaTheme="minorEastAsia" w:hAnsiTheme="minorHAnsi" w:cstheme="minorBidi"/>
                <w:sz w:val="20"/>
                <w:szCs w:val="20"/>
              </w:rPr>
              <w:t xml:space="preserve"> kW) con reductor de alta eficiencia</w:t>
            </w:r>
            <w:r w:rsidR="1A569004" w:rsidRPr="3C234025">
              <w:rPr>
                <w:rFonts w:asciiTheme="minorHAnsi" w:eastAsiaTheme="minorEastAsia" w:hAnsiTheme="minorHAnsi" w:cstheme="minorBidi"/>
                <w:sz w:val="20"/>
                <w:szCs w:val="20"/>
              </w:rPr>
              <w:t>.</w:t>
            </w:r>
          </w:p>
        </w:tc>
      </w:tr>
      <w:tr w:rsidR="18865AD6" w14:paraId="600E4A83" w14:textId="77777777" w:rsidTr="3C234025">
        <w:trPr>
          <w:trHeight w:val="300"/>
        </w:trPr>
        <w:tc>
          <w:tcPr>
            <w:tcW w:w="615" w:type="dxa"/>
          </w:tcPr>
          <w:p w14:paraId="0277AFEE" w14:textId="6A7CE0AA" w:rsidR="4FAB782F" w:rsidRDefault="4FAB782F" w:rsidP="18865AD6">
            <w:r>
              <w:t>13</w:t>
            </w:r>
          </w:p>
        </w:tc>
        <w:tc>
          <w:tcPr>
            <w:tcW w:w="5884" w:type="dxa"/>
          </w:tcPr>
          <w:p w14:paraId="4803CBCA" w14:textId="2B160E7D" w:rsidR="4FAB782F" w:rsidRDefault="4FAB782F" w:rsidP="18865AD6">
            <w:r>
              <w:rPr>
                <w:noProof/>
              </w:rPr>
              <w:drawing>
                <wp:inline distT="0" distB="0" distL="0" distR="0" wp14:anchorId="28310CC7" wp14:editId="37B1A07D">
                  <wp:extent cx="1733550" cy="1752600"/>
                  <wp:effectExtent l="0" t="0" r="0" b="0"/>
                  <wp:docPr id="11369615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961535" name="Picture 1136961535"/>
                          <pic:cNvPicPr/>
                        </pic:nvPicPr>
                        <pic:blipFill>
                          <a:blip r:embed="rId126">
                            <a:extLst>
                              <a:ext uri="{28A0092B-C50C-407E-A947-70E740481C1C}">
                                <a14:useLocalDpi xmlns:a14="http://schemas.microsoft.com/office/drawing/2010/main"/>
                              </a:ext>
                            </a:extLst>
                          </a:blip>
                          <a:stretch>
                            <a:fillRect/>
                          </a:stretch>
                        </pic:blipFill>
                        <pic:spPr>
                          <a:xfrm>
                            <a:off x="0" y="0"/>
                            <a:ext cx="1733550" cy="1752600"/>
                          </a:xfrm>
                          <a:prstGeom prst="rect">
                            <a:avLst/>
                          </a:prstGeom>
                        </pic:spPr>
                      </pic:pic>
                    </a:graphicData>
                  </a:graphic>
                </wp:inline>
              </w:drawing>
            </w:r>
          </w:p>
        </w:tc>
        <w:tc>
          <w:tcPr>
            <w:tcW w:w="3248" w:type="dxa"/>
          </w:tcPr>
          <w:p w14:paraId="7C3E8F7B" w14:textId="7849DED0" w:rsidR="4FAB782F" w:rsidRDefault="4FAB782F" w:rsidP="18865AD6">
            <w:pPr>
              <w:rPr>
                <w:rFonts w:asciiTheme="minorHAnsi" w:eastAsiaTheme="minorEastAsia" w:hAnsiTheme="minorHAnsi" w:cstheme="minorBidi"/>
                <w:sz w:val="20"/>
                <w:szCs w:val="20"/>
              </w:rPr>
            </w:pPr>
            <w:r w:rsidRPr="18865AD6">
              <w:rPr>
                <w:rFonts w:asciiTheme="minorHAnsi" w:eastAsiaTheme="minorEastAsia" w:hAnsiTheme="minorHAnsi" w:cstheme="minorBidi"/>
                <w:b/>
                <w:bCs/>
                <w:sz w:val="20"/>
                <w:szCs w:val="20"/>
              </w:rPr>
              <w:t>Necesidad</w:t>
            </w:r>
            <w:r w:rsidRPr="18865AD6">
              <w:rPr>
                <w:rFonts w:asciiTheme="minorHAnsi" w:eastAsiaTheme="minorEastAsia" w:hAnsiTheme="minorHAnsi" w:cstheme="minorBidi"/>
                <w:sz w:val="20"/>
                <w:szCs w:val="20"/>
              </w:rPr>
              <w:t xml:space="preserve"> </w:t>
            </w:r>
          </w:p>
          <w:p w14:paraId="16018A88" w14:textId="1DC214B6"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Analizador de Gases de Combustión.</w:t>
            </w:r>
            <w:r w:rsidRPr="3C234025">
              <w:rPr>
                <w:rFonts w:asciiTheme="minorHAnsi" w:eastAsiaTheme="minorEastAsia" w:hAnsiTheme="minorHAnsi" w:cstheme="minorBidi"/>
                <w:sz w:val="20"/>
                <w:szCs w:val="20"/>
              </w:rPr>
              <w:t xml:space="preserve"> Mide la concentración de CO, NOx, SO2 y material particulado para evaluar el desempeño ambiental de los equipos térmicos. </w:t>
            </w:r>
          </w:p>
          <w:p w14:paraId="0595B473" w14:textId="1E91DA96" w:rsidR="18865AD6" w:rsidRDefault="18865AD6" w:rsidP="3C234025">
            <w:pPr>
              <w:jc w:val="both"/>
              <w:rPr>
                <w:rFonts w:asciiTheme="minorHAnsi" w:eastAsiaTheme="minorEastAsia" w:hAnsiTheme="minorHAnsi" w:cstheme="minorBidi"/>
                <w:b/>
                <w:bCs/>
                <w:sz w:val="20"/>
                <w:szCs w:val="20"/>
              </w:rPr>
            </w:pPr>
          </w:p>
          <w:p w14:paraId="782229C0" w14:textId="280604FB"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4C62D210" w14:textId="0ED80D14" w:rsidR="18865AD6" w:rsidRDefault="799C407F"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Gases Medidos (Sensores): O2 (0-21%), CO (0-10,000 ppm), NO (0-3,000 ppm), NO2 y SO2.</w:t>
            </w:r>
          </w:p>
          <w:p w14:paraId="2F856BE4" w14:textId="760E303A" w:rsidR="18865AD6" w:rsidRDefault="799C407F"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Parámetros Calculados:</w:t>
            </w:r>
            <w:r w:rsidR="46AE504B"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CO2 (dióxido de carbono), Exceso de aire, Eficiencia de la combustión y Pérdidas de calor.</w:t>
            </w:r>
          </w:p>
          <w:p w14:paraId="7080D748" w14:textId="41C41BA6" w:rsidR="18865AD6" w:rsidRDefault="799C407F"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Rango de Temperatura</w:t>
            </w:r>
            <w:r w:rsidR="56138113"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Sonda de muestreo capaz de soportar hasta 1000</w:t>
            </w:r>
            <w:r w:rsidR="43121A74" w:rsidRPr="3C234025">
              <w:rPr>
                <w:rFonts w:asciiTheme="minorHAnsi" w:eastAsiaTheme="minorEastAsia" w:hAnsiTheme="minorHAnsi" w:cstheme="minorBidi"/>
                <w:sz w:val="20"/>
                <w:szCs w:val="20"/>
              </w:rPr>
              <w:t>°</w:t>
            </w:r>
            <w:r w:rsidRPr="3C234025">
              <w:rPr>
                <w:rFonts w:asciiTheme="minorHAnsi" w:eastAsiaTheme="minorEastAsia" w:hAnsiTheme="minorHAnsi" w:cstheme="minorBidi"/>
                <w:sz w:val="20"/>
                <w:szCs w:val="20"/>
              </w:rPr>
              <w:t>C.</w:t>
            </w:r>
          </w:p>
          <w:p w14:paraId="5D94B818" w14:textId="497D7638" w:rsidR="18865AD6" w:rsidRDefault="799C407F"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Resolución de Sensores</w:t>
            </w:r>
            <w:r w:rsidR="52E0E08C"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0.1 vol.% para O2</w:t>
            </w:r>
            <w:r w:rsidR="5CD01953"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w:t>
            </w:r>
            <w:r w:rsidR="5CD01953"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1 ppm para gases tóxicos.</w:t>
            </w:r>
          </w:p>
          <w:p w14:paraId="64C6E27C" w14:textId="6D2C082D" w:rsidR="18865AD6" w:rsidRDefault="799C407F"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Preparación de Muestra</w:t>
            </w:r>
            <w:r w:rsidR="0AC66840"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Trampa de condensados integrada y filtros de partículas finas para proteger los sensores.</w:t>
            </w:r>
          </w:p>
          <w:p w14:paraId="7AF13317" w14:textId="69A2B150" w:rsidR="18865AD6" w:rsidRDefault="799C407F"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Interfaz y Memoria</w:t>
            </w:r>
            <w:r w:rsidR="0FA23610"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Pantalla a color, memoria interna para al menos 500 mediciones y conexión USB/Bluetooth para PC.</w:t>
            </w:r>
          </w:p>
          <w:p w14:paraId="429CB5BA" w14:textId="085C4ACB" w:rsidR="18865AD6" w:rsidRDefault="799C407F"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Certificaciones</w:t>
            </w:r>
            <w:r w:rsidR="63CB0D83"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Cumplimiento con normas de emisiones (como la EN 50379) para validación de resultados.</w:t>
            </w:r>
          </w:p>
        </w:tc>
      </w:tr>
      <w:tr w:rsidR="18865AD6" w14:paraId="7580EFD4" w14:textId="77777777" w:rsidTr="3C234025">
        <w:trPr>
          <w:trHeight w:val="300"/>
        </w:trPr>
        <w:tc>
          <w:tcPr>
            <w:tcW w:w="615" w:type="dxa"/>
          </w:tcPr>
          <w:p w14:paraId="58E38B15" w14:textId="094B9303" w:rsidR="4FAB782F" w:rsidRDefault="4FAB782F" w:rsidP="18865AD6">
            <w:r>
              <w:t>14</w:t>
            </w:r>
          </w:p>
        </w:tc>
        <w:tc>
          <w:tcPr>
            <w:tcW w:w="5884" w:type="dxa"/>
          </w:tcPr>
          <w:p w14:paraId="397A865E" w14:textId="3840A95B" w:rsidR="4FAB782F" w:rsidRDefault="4FAB782F" w:rsidP="18865AD6">
            <w:r>
              <w:rPr>
                <w:noProof/>
              </w:rPr>
              <w:drawing>
                <wp:inline distT="0" distB="0" distL="0" distR="0" wp14:anchorId="474DF094" wp14:editId="007DA626">
                  <wp:extent cx="2924175" cy="1362075"/>
                  <wp:effectExtent l="0" t="0" r="0" b="0"/>
                  <wp:docPr id="18353572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357297" name="Picture 1835357297"/>
                          <pic:cNvPicPr/>
                        </pic:nvPicPr>
                        <pic:blipFill>
                          <a:blip r:embed="rId127">
                            <a:extLst>
                              <a:ext uri="{28A0092B-C50C-407E-A947-70E740481C1C}">
                                <a14:useLocalDpi xmlns:a14="http://schemas.microsoft.com/office/drawing/2010/main"/>
                              </a:ext>
                            </a:extLst>
                          </a:blip>
                          <a:stretch>
                            <a:fillRect/>
                          </a:stretch>
                        </pic:blipFill>
                        <pic:spPr>
                          <a:xfrm>
                            <a:off x="0" y="0"/>
                            <a:ext cx="2924175" cy="1362075"/>
                          </a:xfrm>
                          <a:prstGeom prst="rect">
                            <a:avLst/>
                          </a:prstGeom>
                        </pic:spPr>
                      </pic:pic>
                    </a:graphicData>
                  </a:graphic>
                </wp:inline>
              </w:drawing>
            </w:r>
          </w:p>
        </w:tc>
        <w:tc>
          <w:tcPr>
            <w:tcW w:w="3248" w:type="dxa"/>
          </w:tcPr>
          <w:p w14:paraId="0064A787" w14:textId="7849DED0" w:rsidR="4FAB782F" w:rsidRDefault="4FAB782F" w:rsidP="18865AD6">
            <w:pPr>
              <w:rPr>
                <w:rFonts w:asciiTheme="minorHAnsi" w:eastAsiaTheme="minorEastAsia" w:hAnsiTheme="minorHAnsi" w:cstheme="minorBidi"/>
                <w:sz w:val="20"/>
                <w:szCs w:val="20"/>
              </w:rPr>
            </w:pPr>
            <w:r w:rsidRPr="18865AD6">
              <w:rPr>
                <w:rFonts w:asciiTheme="minorHAnsi" w:eastAsiaTheme="minorEastAsia" w:hAnsiTheme="minorHAnsi" w:cstheme="minorBidi"/>
                <w:b/>
                <w:bCs/>
                <w:sz w:val="20"/>
                <w:szCs w:val="20"/>
              </w:rPr>
              <w:t>Necesidad</w:t>
            </w:r>
            <w:r w:rsidRPr="18865AD6">
              <w:rPr>
                <w:rFonts w:asciiTheme="minorHAnsi" w:eastAsiaTheme="minorEastAsia" w:hAnsiTheme="minorHAnsi" w:cstheme="minorBidi"/>
                <w:sz w:val="20"/>
                <w:szCs w:val="20"/>
              </w:rPr>
              <w:t xml:space="preserve"> </w:t>
            </w:r>
          </w:p>
          <w:p w14:paraId="19750A3B" w14:textId="30BA66FD" w:rsidR="4FAB782F" w:rsidRDefault="4FAB782F" w:rsidP="18865AD6">
            <w:pPr>
              <w:rPr>
                <w:rFonts w:asciiTheme="minorHAnsi" w:eastAsiaTheme="minorEastAsia" w:hAnsiTheme="minorHAnsi" w:cstheme="minorBidi"/>
                <w:sz w:val="20"/>
                <w:szCs w:val="20"/>
              </w:rPr>
            </w:pPr>
            <w:r w:rsidRPr="18865AD6">
              <w:rPr>
                <w:rFonts w:asciiTheme="minorHAnsi" w:eastAsiaTheme="minorEastAsia" w:hAnsiTheme="minorHAnsi" w:cstheme="minorBidi"/>
                <w:b/>
                <w:bCs/>
                <w:sz w:val="20"/>
                <w:szCs w:val="20"/>
              </w:rPr>
              <w:t>Equipo de Proceso de Biomasa,</w:t>
            </w:r>
          </w:p>
          <w:p w14:paraId="1F6CA165" w14:textId="278A194D"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Controlado desde Computador (PC).</w:t>
            </w:r>
            <w:r w:rsidRPr="3C234025">
              <w:rPr>
                <w:rFonts w:asciiTheme="minorHAnsi" w:eastAsiaTheme="minorEastAsia" w:hAnsiTheme="minorHAnsi" w:cstheme="minorBidi"/>
                <w:sz w:val="20"/>
                <w:szCs w:val="20"/>
              </w:rPr>
              <w:t xml:space="preserve"> El Equipo de Proceso de Biomasa Controlado desde Computador (PC) “EBMC”, es un equipo que hace posible a los alumnos el estudio de instalaciones de calefacción con calderas de biomasa y obtención de agua caliente sanitaria. </w:t>
            </w:r>
          </w:p>
          <w:p w14:paraId="58D3CF95" w14:textId="1E91DA96" w:rsidR="18865AD6" w:rsidRDefault="18865AD6" w:rsidP="3C234025">
            <w:pPr>
              <w:jc w:val="both"/>
              <w:rPr>
                <w:rFonts w:asciiTheme="minorHAnsi" w:eastAsiaTheme="minorEastAsia" w:hAnsiTheme="minorHAnsi" w:cstheme="minorBidi"/>
                <w:b/>
                <w:bCs/>
                <w:sz w:val="20"/>
                <w:szCs w:val="20"/>
              </w:rPr>
            </w:pPr>
          </w:p>
          <w:p w14:paraId="4073A31F" w14:textId="280604FB"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422DBD4F" w14:textId="72332B31" w:rsidR="18865AD6" w:rsidRDefault="716F5272"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Caldera de Biomasa: Potencia térmica de 20 kW. Alimentación automática por sinfín. Compatible con pellets y huesos de aceituna/fruta.</w:t>
            </w:r>
          </w:p>
          <w:p w14:paraId="1BC0AA6E" w14:textId="0ABB9FCE" w:rsidR="18865AD6" w:rsidRDefault="716F5272"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Circuito de Agua</w:t>
            </w:r>
            <w:r w:rsidR="72A77D03"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 xml:space="preserve">Tanque de almacenamiento de agua (puffer tank) de al menos </w:t>
            </w:r>
            <w:r w:rsidR="5C25030A" w:rsidRPr="3C234025">
              <w:rPr>
                <w:rFonts w:asciiTheme="minorHAnsi" w:eastAsiaTheme="minorEastAsia" w:hAnsiTheme="minorHAnsi" w:cstheme="minorBidi"/>
                <w:sz w:val="20"/>
                <w:szCs w:val="20"/>
              </w:rPr>
              <w:t>1</w:t>
            </w:r>
            <w:r w:rsidRPr="3C234025">
              <w:rPr>
                <w:rFonts w:asciiTheme="minorHAnsi" w:eastAsiaTheme="minorEastAsia" w:hAnsiTheme="minorHAnsi" w:cstheme="minorBidi"/>
                <w:sz w:val="20"/>
                <w:szCs w:val="20"/>
              </w:rPr>
              <w:t xml:space="preserve">00 litros. </w:t>
            </w:r>
          </w:p>
          <w:p w14:paraId="18E4FC7C" w14:textId="32E5C2F9" w:rsidR="18865AD6" w:rsidRDefault="716F5272"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Bomba de circulación con variador de frecuencia.</w:t>
            </w:r>
          </w:p>
          <w:p w14:paraId="75F031C3" w14:textId="32409A3C" w:rsidR="18865AD6" w:rsidRDefault="716F5272"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Intercambiadores</w:t>
            </w:r>
            <w:r w:rsidR="0A933CF6"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Intercambiador de placas para producción de agua caliente y radiador con ventilador para simular carga térmica.</w:t>
            </w:r>
          </w:p>
          <w:p w14:paraId="273B55F5" w14:textId="076E406B" w:rsidR="18865AD6" w:rsidRDefault="716F5272"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Sensores SCADA</w:t>
            </w:r>
            <w:r w:rsidR="3458B192"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Sensores de temperatura (entrada/salida), caudalímetros electrónicos y medidores de energía térmica (BTU meter).</w:t>
            </w:r>
          </w:p>
          <w:p w14:paraId="1B6CF1FE" w14:textId="3FA7F840" w:rsidR="18865AD6" w:rsidRDefault="716F5272" w:rsidP="3C234025">
            <w:pPr>
              <w:spacing w:line="259" w:lineRule="auto"/>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Control por PC</w:t>
            </w:r>
            <w:r w:rsidR="18937B00"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Software con control PID para la temperatura del agua y gestión de la combustión. Visualización de diagramas de flujo en tiempo real.</w:t>
            </w:r>
          </w:p>
        </w:tc>
      </w:tr>
      <w:tr w:rsidR="18865AD6" w14:paraId="71A00EC9" w14:textId="77777777" w:rsidTr="3C234025">
        <w:trPr>
          <w:trHeight w:val="300"/>
        </w:trPr>
        <w:tc>
          <w:tcPr>
            <w:tcW w:w="615" w:type="dxa"/>
          </w:tcPr>
          <w:p w14:paraId="04069E6F" w14:textId="6776A47F" w:rsidR="4FAB782F" w:rsidRDefault="4FAB782F" w:rsidP="18865AD6">
            <w:r>
              <w:t>15</w:t>
            </w:r>
          </w:p>
        </w:tc>
        <w:tc>
          <w:tcPr>
            <w:tcW w:w="5884" w:type="dxa"/>
          </w:tcPr>
          <w:p w14:paraId="4FA78334" w14:textId="0CA84DF8" w:rsidR="4FAB782F" w:rsidRDefault="4FAB782F" w:rsidP="18865AD6">
            <w:r>
              <w:rPr>
                <w:noProof/>
              </w:rPr>
              <w:drawing>
                <wp:inline distT="0" distB="0" distL="0" distR="0" wp14:anchorId="65287157" wp14:editId="67139160">
                  <wp:extent cx="3019425" cy="1847850"/>
                  <wp:effectExtent l="0" t="0" r="0" b="0"/>
                  <wp:docPr id="17978976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97648" name="Picture 1797897648"/>
                          <pic:cNvPicPr/>
                        </pic:nvPicPr>
                        <pic:blipFill>
                          <a:blip r:embed="rId128">
                            <a:extLst>
                              <a:ext uri="{28A0092B-C50C-407E-A947-70E740481C1C}">
                                <a14:useLocalDpi xmlns:a14="http://schemas.microsoft.com/office/drawing/2010/main"/>
                              </a:ext>
                            </a:extLst>
                          </a:blip>
                          <a:stretch>
                            <a:fillRect/>
                          </a:stretch>
                        </pic:blipFill>
                        <pic:spPr>
                          <a:xfrm>
                            <a:off x="0" y="0"/>
                            <a:ext cx="3019425" cy="1847850"/>
                          </a:xfrm>
                          <a:prstGeom prst="rect">
                            <a:avLst/>
                          </a:prstGeom>
                        </pic:spPr>
                      </pic:pic>
                    </a:graphicData>
                  </a:graphic>
                </wp:inline>
              </w:drawing>
            </w:r>
          </w:p>
        </w:tc>
        <w:tc>
          <w:tcPr>
            <w:tcW w:w="3248" w:type="dxa"/>
          </w:tcPr>
          <w:p w14:paraId="21869C4F" w14:textId="7849DED0" w:rsidR="4FAB782F" w:rsidRDefault="4FAB782F" w:rsidP="18865AD6">
            <w:pPr>
              <w:rPr>
                <w:rFonts w:asciiTheme="minorHAnsi" w:eastAsiaTheme="minorEastAsia" w:hAnsiTheme="minorHAnsi" w:cstheme="minorBidi"/>
                <w:sz w:val="20"/>
                <w:szCs w:val="20"/>
              </w:rPr>
            </w:pPr>
            <w:r w:rsidRPr="18865AD6">
              <w:rPr>
                <w:rFonts w:asciiTheme="minorHAnsi" w:eastAsiaTheme="minorEastAsia" w:hAnsiTheme="minorHAnsi" w:cstheme="minorBidi"/>
                <w:b/>
                <w:bCs/>
                <w:sz w:val="20"/>
                <w:szCs w:val="20"/>
              </w:rPr>
              <w:t>Necesidad</w:t>
            </w:r>
            <w:r w:rsidRPr="18865AD6">
              <w:rPr>
                <w:rFonts w:asciiTheme="minorHAnsi" w:eastAsiaTheme="minorEastAsia" w:hAnsiTheme="minorHAnsi" w:cstheme="minorBidi"/>
                <w:sz w:val="20"/>
                <w:szCs w:val="20"/>
              </w:rPr>
              <w:t xml:space="preserve"> </w:t>
            </w:r>
          </w:p>
          <w:p w14:paraId="203D20E2" w14:textId="5BD3F6DD"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Planta de Procesamiento de Biogás, Controlada desde Computador (PC).</w:t>
            </w:r>
            <w:r w:rsidRPr="3C234025">
              <w:rPr>
                <w:rFonts w:asciiTheme="minorHAnsi" w:eastAsiaTheme="minorEastAsia" w:hAnsiTheme="minorHAnsi" w:cstheme="minorBidi"/>
                <w:sz w:val="20"/>
                <w:szCs w:val="20"/>
              </w:rPr>
              <w:t xml:space="preserve"> La Planta de Procesamiento de Biogás, Controlada desde Computador (PC), "PBGC/CTS", demuestra de forma práctica la generación de Biogás, permitiendo el estudio de los diferentes parámetros que afectan a la digestión anaerobia en sí y al valor del biogás obtenido. </w:t>
            </w:r>
          </w:p>
          <w:p w14:paraId="009784CF" w14:textId="1E91DA96" w:rsidR="18865AD6" w:rsidRDefault="18865AD6" w:rsidP="3C234025">
            <w:pPr>
              <w:jc w:val="both"/>
              <w:rPr>
                <w:rFonts w:asciiTheme="minorHAnsi" w:eastAsiaTheme="minorEastAsia" w:hAnsiTheme="minorHAnsi" w:cstheme="minorBidi"/>
                <w:b/>
                <w:bCs/>
                <w:sz w:val="20"/>
                <w:szCs w:val="20"/>
              </w:rPr>
            </w:pPr>
          </w:p>
          <w:p w14:paraId="07065927" w14:textId="280604FB" w:rsidR="4FAB782F" w:rsidRDefault="1A569004"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Características técnicas de referencia</w:t>
            </w:r>
          </w:p>
          <w:p w14:paraId="59509366" w14:textId="194AEDFA" w:rsidR="18865AD6" w:rsidRDefault="1348A237"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Reactor Anaerobio</w:t>
            </w:r>
            <w:r w:rsidR="6A85B855"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 xml:space="preserve">Volumen útil de </w:t>
            </w:r>
            <w:r w:rsidR="1E7FCBE1" w:rsidRPr="3C234025">
              <w:rPr>
                <w:rFonts w:asciiTheme="minorHAnsi" w:eastAsiaTheme="minorEastAsia" w:hAnsiTheme="minorHAnsi" w:cstheme="minorBidi"/>
                <w:sz w:val="20"/>
                <w:szCs w:val="20"/>
              </w:rPr>
              <w:t>4</w:t>
            </w:r>
            <w:r w:rsidRPr="3C234025">
              <w:rPr>
                <w:rFonts w:asciiTheme="minorHAnsi" w:eastAsiaTheme="minorEastAsia" w:hAnsiTheme="minorHAnsi" w:cstheme="minorBidi"/>
                <w:sz w:val="20"/>
                <w:szCs w:val="20"/>
              </w:rPr>
              <w:t>0 litros. Encamisado para control térmico preciso. Sistema de agitación mecánica programable.</w:t>
            </w:r>
          </w:p>
          <w:p w14:paraId="7817733F" w14:textId="39BFED8F" w:rsidR="18865AD6" w:rsidRDefault="1348A237"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Gestión de Gas</w:t>
            </w:r>
            <w:r w:rsidR="7068EBF0"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Almacenamiento en gasómetro flexible o de campana. Medidor de flujo de gas de alta precisión (tipo tambor).</w:t>
            </w:r>
          </w:p>
          <w:p w14:paraId="3D92821C" w14:textId="3EF630BA" w:rsidR="18865AD6" w:rsidRDefault="1348A237"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Instrumentación Proceso</w:t>
            </w:r>
            <w:r w:rsidR="0854DA95"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Sondas industriales de pH, Potencial Redox (ORP) y temperatura interna del lodo.</w:t>
            </w:r>
          </w:p>
          <w:p w14:paraId="40A93F33" w14:textId="295C7A39" w:rsidR="18865AD6" w:rsidRDefault="1348A237"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Seguridad y Control</w:t>
            </w:r>
            <w:r w:rsidR="0723903F"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Válvulas de contrapresión, arrestallamas y sensores de nivel. Control automático del ciclo de carga y descarga de materia orgánica.</w:t>
            </w:r>
          </w:p>
          <w:p w14:paraId="0BC74AA9" w14:textId="07A82DED" w:rsidR="18865AD6" w:rsidRDefault="1348A237"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sz w:val="20"/>
                <w:szCs w:val="20"/>
              </w:rPr>
              <w:t>Análisis de Biogás</w:t>
            </w:r>
            <w:r w:rsidR="27D61921" w:rsidRPr="3C234025">
              <w:rPr>
                <w:rFonts w:asciiTheme="minorHAnsi" w:eastAsiaTheme="minorEastAsia" w:hAnsiTheme="minorHAnsi" w:cstheme="minorBidi"/>
                <w:sz w:val="20"/>
                <w:szCs w:val="20"/>
              </w:rPr>
              <w:t xml:space="preserve">: </w:t>
            </w:r>
            <w:r w:rsidRPr="3C234025">
              <w:rPr>
                <w:rFonts w:asciiTheme="minorHAnsi" w:eastAsiaTheme="minorEastAsia" w:hAnsiTheme="minorHAnsi" w:cstheme="minorBidi"/>
                <w:sz w:val="20"/>
                <w:szCs w:val="20"/>
              </w:rPr>
              <w:t>Sensor integrado en el SCADA para medir porcentaje de CH4 y CO2 en línea.</w:t>
            </w:r>
          </w:p>
        </w:tc>
      </w:tr>
      <w:tr w:rsidR="5C4E3398" w14:paraId="5EC2B540" w14:textId="77777777" w:rsidTr="3C234025">
        <w:trPr>
          <w:trHeight w:val="300"/>
        </w:trPr>
        <w:tc>
          <w:tcPr>
            <w:tcW w:w="615" w:type="dxa"/>
          </w:tcPr>
          <w:p w14:paraId="36FA312E" w14:textId="256B8AE0" w:rsidR="08D4A415" w:rsidRDefault="08D4A415" w:rsidP="5C4E3398">
            <w:r>
              <w:t>16</w:t>
            </w:r>
          </w:p>
        </w:tc>
        <w:tc>
          <w:tcPr>
            <w:tcW w:w="5884" w:type="dxa"/>
          </w:tcPr>
          <w:p w14:paraId="7EC8E1BC" w14:textId="2F1304E3" w:rsidR="5C4E3398" w:rsidRDefault="5C4E3398">
            <w:r>
              <w:rPr>
                <w:noProof/>
              </w:rPr>
              <w:drawing>
                <wp:inline distT="0" distB="0" distL="0" distR="0" wp14:anchorId="7E435CE0" wp14:editId="3068C617">
                  <wp:extent cx="3390900" cy="2609850"/>
                  <wp:effectExtent l="0" t="0" r="0" b="0"/>
                  <wp:docPr id="463876500" name="drawing" descr="Laptop PNG Transparent Images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14616" name="Picture 1740514616"/>
                          <pic:cNvPicPr/>
                        </pic:nvPicPr>
                        <pic:blipFill>
                          <a:blip r:embed="rId37">
                            <a:extLst>
                              <a:ext uri="{28A0092B-C50C-407E-A947-70E740481C1C}">
                                <a14:useLocalDpi xmlns:a14="http://schemas.microsoft.com/office/drawing/2010/main"/>
                              </a:ext>
                            </a:extLst>
                          </a:blip>
                          <a:stretch>
                            <a:fillRect/>
                          </a:stretch>
                        </pic:blipFill>
                        <pic:spPr>
                          <a:xfrm>
                            <a:off x="0" y="0"/>
                            <a:ext cx="3390900" cy="2609850"/>
                          </a:xfrm>
                          <a:prstGeom prst="rect">
                            <a:avLst/>
                          </a:prstGeom>
                        </pic:spPr>
                      </pic:pic>
                    </a:graphicData>
                  </a:graphic>
                </wp:inline>
              </w:drawing>
            </w:r>
          </w:p>
        </w:tc>
        <w:tc>
          <w:tcPr>
            <w:tcW w:w="3248" w:type="dxa"/>
          </w:tcPr>
          <w:p w14:paraId="49CF56EA" w14:textId="39C6B9FA" w:rsidR="5C4E3398" w:rsidRDefault="31997B0B" w:rsidP="3C234025">
            <w:pPr>
              <w:jc w:val="both"/>
              <w:rPr>
                <w:rFonts w:asciiTheme="minorHAnsi" w:eastAsiaTheme="minorEastAsia" w:hAnsiTheme="minorHAnsi" w:cstheme="minorBidi"/>
                <w:sz w:val="20"/>
                <w:szCs w:val="20"/>
              </w:rPr>
            </w:pPr>
            <w:r w:rsidRPr="3C234025">
              <w:rPr>
                <w:rFonts w:asciiTheme="minorHAnsi" w:eastAsiaTheme="minorEastAsia" w:hAnsiTheme="minorHAnsi" w:cstheme="minorBidi"/>
                <w:b/>
                <w:bCs/>
                <w:sz w:val="20"/>
                <w:szCs w:val="20"/>
              </w:rPr>
              <w:t>Necesidad</w:t>
            </w:r>
            <w:r w:rsidRPr="3C234025">
              <w:rPr>
                <w:rFonts w:asciiTheme="minorHAnsi" w:eastAsiaTheme="minorEastAsia" w:hAnsiTheme="minorHAnsi" w:cstheme="minorBidi"/>
                <w:sz w:val="20"/>
                <w:szCs w:val="20"/>
              </w:rPr>
              <w:t xml:space="preserve"> </w:t>
            </w:r>
            <w:r w:rsidR="5C4E3398">
              <w:br/>
            </w:r>
            <w:r w:rsidRPr="3C234025">
              <w:rPr>
                <w:rFonts w:asciiTheme="minorHAnsi" w:eastAsiaTheme="minorEastAsia" w:hAnsiTheme="minorHAnsi" w:cstheme="minorBidi"/>
                <w:b/>
                <w:bCs/>
                <w:sz w:val="20"/>
                <w:szCs w:val="20"/>
              </w:rPr>
              <w:t>Computadores portátiles.</w:t>
            </w:r>
            <w:r w:rsidRPr="3C234025">
              <w:rPr>
                <w:rFonts w:asciiTheme="minorHAnsi" w:eastAsiaTheme="minorEastAsia" w:hAnsiTheme="minorHAnsi" w:cstheme="minorBidi"/>
                <w:sz w:val="20"/>
                <w:szCs w:val="20"/>
              </w:rPr>
              <w:t xml:space="preserve"> Permitir control y monitoreo de sistemas didácticos. </w:t>
            </w:r>
            <w:r w:rsidR="5C4E3398">
              <w:br/>
            </w:r>
            <w:r w:rsidR="5C4E3398">
              <w:br/>
            </w:r>
            <w:r w:rsidRPr="3C234025">
              <w:rPr>
                <w:rFonts w:asciiTheme="minorHAnsi" w:eastAsiaTheme="minorEastAsia" w:hAnsiTheme="minorHAnsi" w:cstheme="minorBidi"/>
                <w:b/>
                <w:bCs/>
                <w:sz w:val="20"/>
                <w:szCs w:val="20"/>
              </w:rPr>
              <w:t>Características técnicas de referencia</w:t>
            </w:r>
            <w:r w:rsidRPr="3C234025">
              <w:rPr>
                <w:rFonts w:asciiTheme="minorHAnsi" w:eastAsiaTheme="minorEastAsia" w:hAnsiTheme="minorHAnsi" w:cstheme="minorBidi"/>
                <w:sz w:val="20"/>
                <w:szCs w:val="20"/>
              </w:rPr>
              <w:t xml:space="preserve"> </w:t>
            </w:r>
            <w:r w:rsidR="5C4E3398">
              <w:br/>
            </w:r>
            <w:r w:rsidRPr="3C234025">
              <w:rPr>
                <w:rFonts w:asciiTheme="minorHAnsi" w:eastAsiaTheme="minorEastAsia" w:hAnsiTheme="minorHAnsi" w:cstheme="minorBidi"/>
                <w:sz w:val="20"/>
                <w:szCs w:val="20"/>
              </w:rPr>
              <w:t>Computadores portátiles para control y monitoreo del laboratorio eólico. Procesador equivalente Intel Core i5 de 11a generación o superior (≥ 2.4 GHz). Memoria RAM: ≥ 8 GB DDR4. Almacenamiento SSD: ≥ 256 GB. Pantalla: ≥ 14 pulgadas, resolución Full HD (1920×1080). Sistema operativo: Windows 10/11 Pro. Puertos: USB 3.0 ≥ 3 unidades, USB-C/Thunderbolt, HDMI. Tarjeta de red WiFi 802.11ac y Ethernet Gigabit. Compatible con software SCADA y LabVIEW. Batería: autonomía ≥ 6 horas.</w:t>
            </w:r>
          </w:p>
        </w:tc>
      </w:tr>
    </w:tbl>
    <w:p w14:paraId="36C2B3FB" w14:textId="15338BD0" w:rsidR="58623CB7" w:rsidRDefault="58623CB7" w:rsidP="58623CB7">
      <w:pPr>
        <w:rPr>
          <w:rFonts w:asciiTheme="minorHAnsi" w:eastAsiaTheme="minorEastAsia" w:hAnsiTheme="minorHAnsi" w:cstheme="minorBidi"/>
          <w:sz w:val="20"/>
          <w:szCs w:val="20"/>
        </w:rPr>
      </w:pPr>
    </w:p>
    <w:p w14:paraId="7D63833A" w14:textId="2402EE32" w:rsidR="58623CB7" w:rsidRDefault="58623CB7" w:rsidP="58623CB7">
      <w:pPr>
        <w:rPr>
          <w:rFonts w:asciiTheme="minorHAnsi" w:eastAsiaTheme="minorEastAsia" w:hAnsiTheme="minorHAnsi" w:cstheme="minorBidi"/>
          <w:sz w:val="20"/>
          <w:szCs w:val="20"/>
        </w:rPr>
      </w:pPr>
    </w:p>
    <w:p w14:paraId="0D857BBD" w14:textId="0B70E3E0" w:rsidR="4A6F696A" w:rsidRDefault="4A6F696A" w:rsidP="62C29527">
      <w:pPr>
        <w:pStyle w:val="Ttulo1"/>
        <w:jc w:val="both"/>
        <w:rPr>
          <w:rFonts w:ascii="Calibri" w:eastAsia="Calibri" w:hAnsi="Calibri" w:cs="Calibri"/>
          <w:lang w:val="es"/>
        </w:rPr>
      </w:pPr>
      <w:bookmarkStart w:id="6" w:name="_Toc5151476"/>
      <w:r w:rsidRPr="6F1EDA97">
        <w:rPr>
          <w:rFonts w:ascii="Calibri" w:eastAsia="Calibri" w:hAnsi="Calibri" w:cs="Calibri"/>
          <w:lang w:val="es"/>
        </w:rPr>
        <w:t>NORMAS Y CÓDIGOS APLICABLES</w:t>
      </w:r>
      <w:bookmarkEnd w:id="6"/>
    </w:p>
    <w:p w14:paraId="7015B7E2" w14:textId="6EDD381E" w:rsidR="4A6F696A" w:rsidRDefault="4A6F696A" w:rsidP="62C29527">
      <w:pPr>
        <w:pStyle w:val="Sinespaciado"/>
        <w:jc w:val="both"/>
        <w:rPr>
          <w:rFonts w:ascii="Calibri" w:eastAsia="Calibri" w:hAnsi="Calibri" w:cs="Calibri"/>
          <w:sz w:val="20"/>
          <w:szCs w:val="20"/>
          <w:lang w:val="es-ES"/>
        </w:rPr>
      </w:pPr>
      <w:r w:rsidRPr="62C29527">
        <w:rPr>
          <w:rFonts w:ascii="Calibri" w:eastAsia="Calibri" w:hAnsi="Calibri" w:cs="Calibri"/>
          <w:sz w:val="20"/>
          <w:szCs w:val="20"/>
          <w:lang w:val="es-ES"/>
        </w:rPr>
        <w:t xml:space="preserve"> </w:t>
      </w:r>
    </w:p>
    <w:p w14:paraId="6F41140E" w14:textId="7D86A5D0"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Las características técnicas mínimas de la infraestructura eléctrica cumplen con los requisitos técnicos establecidos en:</w:t>
      </w:r>
    </w:p>
    <w:p w14:paraId="08A6243C" w14:textId="6F0B5A49" w:rsidR="4A6F696A" w:rsidRDefault="4A6F696A" w:rsidP="62C29527">
      <w:pPr>
        <w:ind w:left="360"/>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2BAEAA99" w14:textId="4C99CE49" w:rsidR="4A6F696A" w:rsidRDefault="4A6F696A" w:rsidP="003408E6">
      <w:pPr>
        <w:pStyle w:val="Prrafodelista"/>
        <w:numPr>
          <w:ilvl w:val="0"/>
          <w:numId w:val="32"/>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Reglamento Técnico de Instalaciones Eléctricas – RETIE, en su versión vigente y aplicable.</w:t>
      </w:r>
    </w:p>
    <w:p w14:paraId="0512EE64" w14:textId="306BD1B2" w:rsidR="4A6F696A" w:rsidRDefault="4A6F696A" w:rsidP="003408E6">
      <w:pPr>
        <w:pStyle w:val="Prrafodelista"/>
        <w:numPr>
          <w:ilvl w:val="0"/>
          <w:numId w:val="32"/>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Resolución 5018 de 2029 lineamientos en seguridad y salud en el trabajo en los procesos de generación de energía. </w:t>
      </w:r>
    </w:p>
    <w:p w14:paraId="4FBF6D9F" w14:textId="3B791538" w:rsidR="4A6F696A" w:rsidRDefault="4A6F696A" w:rsidP="003408E6">
      <w:pPr>
        <w:pStyle w:val="Prrafodelista"/>
        <w:numPr>
          <w:ilvl w:val="0"/>
          <w:numId w:val="32"/>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Código Eléctrico Colombiano NTC 2050 última actualización y/o NEC.</w:t>
      </w:r>
    </w:p>
    <w:p w14:paraId="18385F6A" w14:textId="5EBA3BDD" w:rsidR="4A6F696A" w:rsidRDefault="4A6F696A" w:rsidP="003408E6">
      <w:pPr>
        <w:pStyle w:val="Prrafodelista"/>
        <w:numPr>
          <w:ilvl w:val="0"/>
          <w:numId w:val="32"/>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Norma Técnica Colombiana NTC 4552. Protección contra descargas eléctricas atmosféricas</w:t>
      </w:r>
    </w:p>
    <w:p w14:paraId="1A3EA984" w14:textId="5CDBBA3A" w:rsidR="4A6F696A" w:rsidRDefault="4A6F696A" w:rsidP="003408E6">
      <w:pPr>
        <w:pStyle w:val="Prrafodelista"/>
        <w:numPr>
          <w:ilvl w:val="0"/>
          <w:numId w:val="32"/>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Norma Sismo Resistente NSR 10.</w:t>
      </w:r>
    </w:p>
    <w:p w14:paraId="7DB3D1B7" w14:textId="18C92BA7" w:rsidR="4A6F696A" w:rsidRDefault="4A6F696A" w:rsidP="003408E6">
      <w:pPr>
        <w:pStyle w:val="Prrafodelista"/>
        <w:numPr>
          <w:ilvl w:val="0"/>
          <w:numId w:val="32"/>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Decreto 2820 del 2010 “Por el cual se reglamenta el Título VIII de la Ley 99 de 1993 sobre licencias ambientales”.</w:t>
      </w:r>
    </w:p>
    <w:p w14:paraId="4E2072E6" w14:textId="336CE3E0" w:rsidR="4A6F696A" w:rsidRDefault="4A6F696A" w:rsidP="003408E6">
      <w:pPr>
        <w:pStyle w:val="Prrafodelista"/>
        <w:numPr>
          <w:ilvl w:val="0"/>
          <w:numId w:val="32"/>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IEC 61215 / IEC 61730: Módulos fotovoltaicos — cualificación del diseño y homologación de seguridad.</w:t>
      </w:r>
    </w:p>
    <w:p w14:paraId="74E69AF9" w14:textId="1456214E" w:rsidR="4A6F696A" w:rsidRDefault="4A6F696A" w:rsidP="003408E6">
      <w:pPr>
        <w:pStyle w:val="Prrafodelista"/>
        <w:numPr>
          <w:ilvl w:val="0"/>
          <w:numId w:val="32"/>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IEC 62446-1: Sistemas fotovoltaicos — Requisitos para pruebas, documentación e inspección.</w:t>
      </w:r>
    </w:p>
    <w:p w14:paraId="200D3593" w14:textId="19429554" w:rsidR="4A6F696A" w:rsidRDefault="4A6F696A" w:rsidP="003408E6">
      <w:pPr>
        <w:pStyle w:val="Prrafodelista"/>
        <w:numPr>
          <w:ilvl w:val="0"/>
          <w:numId w:val="32"/>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IEC 61724-1: Monitoreo del desempeño de sistemas fotovoltaicos.</w:t>
      </w:r>
    </w:p>
    <w:p w14:paraId="52127123" w14:textId="61347201" w:rsidR="4A6F696A" w:rsidRDefault="4A6F696A" w:rsidP="003408E6">
      <w:pPr>
        <w:pStyle w:val="Prrafodelista"/>
        <w:numPr>
          <w:ilvl w:val="0"/>
          <w:numId w:val="32"/>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IEC 61400-2: Aerogeneradores de pequeña escala — Requisitos de diseño.</w:t>
      </w:r>
    </w:p>
    <w:p w14:paraId="275FC338" w14:textId="54B13136" w:rsidR="4A6F696A" w:rsidRDefault="4A6F696A" w:rsidP="003408E6">
      <w:pPr>
        <w:pStyle w:val="Prrafodelista"/>
        <w:numPr>
          <w:ilvl w:val="0"/>
          <w:numId w:val="32"/>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IEC 61851-1 / IEC 62196-1: Sistemas de carga conductiva para vehículos eléctricos e infraestructura de recarga.</w:t>
      </w:r>
    </w:p>
    <w:p w14:paraId="5EA5EA20" w14:textId="3B338B8B" w:rsidR="4A6F696A" w:rsidRDefault="4A6F696A" w:rsidP="003408E6">
      <w:pPr>
        <w:pStyle w:val="Prrafodelista"/>
        <w:numPr>
          <w:ilvl w:val="0"/>
          <w:numId w:val="32"/>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IEC 60193 / IEC 60041: Turbinas hidráulicas — Pruebas de funcionamiento y aceptación en campo.</w:t>
      </w:r>
    </w:p>
    <w:p w14:paraId="14D8676F" w14:textId="326655AA" w:rsidR="4A6F696A" w:rsidRDefault="4A6F696A" w:rsidP="003408E6">
      <w:pPr>
        <w:pStyle w:val="Prrafodelista"/>
        <w:numPr>
          <w:ilvl w:val="0"/>
          <w:numId w:val="32"/>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NTC 5832: Vehículos eléctricos — Vocabulario. (Colombia)</w:t>
      </w:r>
    </w:p>
    <w:p w14:paraId="3A4718A2" w14:textId="05C5BAA3" w:rsidR="4A6F696A" w:rsidRDefault="4A6F696A" w:rsidP="62C29527">
      <w:pPr>
        <w:jc w:val="both"/>
        <w:rPr>
          <w:rFonts w:ascii="Calibri" w:eastAsia="Calibri" w:hAnsi="Calibri" w:cs="Calibri"/>
          <w:i/>
          <w:iCs/>
          <w:sz w:val="20"/>
          <w:szCs w:val="20"/>
          <w:lang w:val="es"/>
        </w:rPr>
      </w:pPr>
      <w:r w:rsidRPr="62C29527">
        <w:rPr>
          <w:rFonts w:ascii="Calibri" w:eastAsia="Calibri" w:hAnsi="Calibri" w:cs="Calibri"/>
          <w:i/>
          <w:iCs/>
          <w:sz w:val="20"/>
          <w:szCs w:val="20"/>
          <w:lang w:val="es"/>
        </w:rPr>
        <w:t xml:space="preserve"> </w:t>
      </w:r>
    </w:p>
    <w:p w14:paraId="65BA8567" w14:textId="0DC816E1"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Además, toda la reglamentación descrita en las resoluciones de la Comisión de Regulación de Energía y Gas (CREG), normas y/o lineamientos de los Operadores de Redes de Distribución Local, el Consejo Nacional de Operación (CNO), lineamientos y normatividad vigente ambientales, de seguridad y salud en el trabajo (SST) y de carácter legal a que haya lugar, considerando en todo caso, las modificaciones vigentes a estas publicaciones en la fecha de realización de los diseños e instalación de las soluciones o sistemas. La adopción de Estándares Específicos Internacionales para equipos o instalaciones cuando no existan estos en el país, en ningún caso podrá incumplir lo señalado en los reglamentos técnicos que expida el Ministerio de Minas y Energía.</w:t>
      </w:r>
    </w:p>
    <w:p w14:paraId="2C999EA6" w14:textId="01691227"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BFF0685" w14:textId="648EB0A3"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De forma general, todos los equipos y materiales a suministrar deben cumplir con las normas aplicables y códigos publicados por las instituciones que se relacionan a continuación según aplique y según detalle relacionado en los subcapítulos de cada componente que integra la solución:</w:t>
      </w:r>
    </w:p>
    <w:p w14:paraId="6BC0CC4D" w14:textId="4B602927"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E6639AC" w14:textId="7B3CB460" w:rsidR="4A6F696A" w:rsidRDefault="4A6F696A" w:rsidP="003408E6">
      <w:pPr>
        <w:pStyle w:val="Prrafodelista"/>
        <w:numPr>
          <w:ilvl w:val="0"/>
          <w:numId w:val="32"/>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NTC - Norma Técnica Colombiana.</w:t>
      </w:r>
    </w:p>
    <w:p w14:paraId="5D777D23" w14:textId="4677EE6E" w:rsidR="4A6F696A" w:rsidRDefault="4A6F696A" w:rsidP="003408E6">
      <w:pPr>
        <w:pStyle w:val="Prrafodelista"/>
        <w:numPr>
          <w:ilvl w:val="0"/>
          <w:numId w:val="32"/>
        </w:numPr>
        <w:ind w:left="360"/>
        <w:jc w:val="both"/>
        <w:rPr>
          <w:rFonts w:ascii="Calibri" w:eastAsia="Calibri" w:hAnsi="Calibri" w:cs="Calibri"/>
          <w:sz w:val="20"/>
          <w:szCs w:val="20"/>
        </w:rPr>
      </w:pPr>
      <w:r w:rsidRPr="62C29527">
        <w:rPr>
          <w:rFonts w:ascii="Calibri" w:eastAsia="Calibri" w:hAnsi="Calibri" w:cs="Calibri"/>
          <w:sz w:val="20"/>
          <w:szCs w:val="20"/>
        </w:rPr>
        <w:t>NEC - National Electrical Code.</w:t>
      </w:r>
    </w:p>
    <w:p w14:paraId="5D235A97" w14:textId="1044B639" w:rsidR="4A6F696A" w:rsidRDefault="4A6F696A" w:rsidP="003408E6">
      <w:pPr>
        <w:pStyle w:val="Prrafodelista"/>
        <w:numPr>
          <w:ilvl w:val="0"/>
          <w:numId w:val="32"/>
        </w:numPr>
        <w:ind w:left="360"/>
        <w:jc w:val="both"/>
        <w:rPr>
          <w:rFonts w:ascii="Calibri" w:eastAsia="Calibri" w:hAnsi="Calibri" w:cs="Calibri"/>
          <w:sz w:val="20"/>
          <w:szCs w:val="20"/>
        </w:rPr>
      </w:pPr>
      <w:r w:rsidRPr="62C29527">
        <w:rPr>
          <w:rFonts w:ascii="Calibri" w:eastAsia="Calibri" w:hAnsi="Calibri" w:cs="Calibri"/>
          <w:sz w:val="20"/>
          <w:szCs w:val="20"/>
        </w:rPr>
        <w:t>IEC - International Electrotechnical Commission.</w:t>
      </w:r>
    </w:p>
    <w:p w14:paraId="107E57E1" w14:textId="2E48A0B7" w:rsidR="4A6F696A" w:rsidRDefault="4A6F696A" w:rsidP="003408E6">
      <w:pPr>
        <w:pStyle w:val="Prrafodelista"/>
        <w:numPr>
          <w:ilvl w:val="0"/>
          <w:numId w:val="32"/>
        </w:numPr>
        <w:ind w:left="360"/>
        <w:jc w:val="both"/>
        <w:rPr>
          <w:rFonts w:ascii="Calibri" w:eastAsia="Calibri" w:hAnsi="Calibri" w:cs="Calibri"/>
          <w:sz w:val="20"/>
          <w:szCs w:val="20"/>
          <w:lang w:val="en-US"/>
        </w:rPr>
      </w:pPr>
      <w:r w:rsidRPr="62C29527">
        <w:rPr>
          <w:rFonts w:ascii="Calibri" w:eastAsia="Calibri" w:hAnsi="Calibri" w:cs="Calibri"/>
          <w:sz w:val="20"/>
          <w:szCs w:val="20"/>
          <w:lang w:val="en-US"/>
        </w:rPr>
        <w:t>ANSI – American National Standarts Institute.</w:t>
      </w:r>
    </w:p>
    <w:p w14:paraId="4FD3CBA6" w14:textId="4CBE70DD" w:rsidR="4A6F696A" w:rsidRDefault="4A6F696A" w:rsidP="003408E6">
      <w:pPr>
        <w:pStyle w:val="Prrafodelista"/>
        <w:numPr>
          <w:ilvl w:val="0"/>
          <w:numId w:val="32"/>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RETIE - Reglamento Técnico de Instalaciones Eléctricas.</w:t>
      </w:r>
    </w:p>
    <w:p w14:paraId="39CBC5E6" w14:textId="095560C0" w:rsidR="4A6F696A" w:rsidRDefault="4A6F696A" w:rsidP="003408E6">
      <w:pPr>
        <w:pStyle w:val="Prrafodelista"/>
        <w:numPr>
          <w:ilvl w:val="0"/>
          <w:numId w:val="32"/>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RITEL - Reglamento de redes internas de comunicación.</w:t>
      </w:r>
    </w:p>
    <w:p w14:paraId="7B79121D" w14:textId="0745F174" w:rsidR="4A6F696A" w:rsidRDefault="4A6F696A" w:rsidP="003408E6">
      <w:pPr>
        <w:pStyle w:val="Prrafodelista"/>
        <w:numPr>
          <w:ilvl w:val="0"/>
          <w:numId w:val="32"/>
        </w:numPr>
        <w:ind w:left="360"/>
        <w:jc w:val="both"/>
        <w:rPr>
          <w:rFonts w:ascii="Calibri" w:eastAsia="Calibri" w:hAnsi="Calibri" w:cs="Calibri"/>
          <w:sz w:val="20"/>
          <w:szCs w:val="20"/>
          <w:lang w:val="en-US"/>
        </w:rPr>
      </w:pPr>
      <w:r w:rsidRPr="62C29527">
        <w:rPr>
          <w:rFonts w:ascii="Calibri" w:eastAsia="Calibri" w:hAnsi="Calibri" w:cs="Calibri"/>
          <w:sz w:val="20"/>
          <w:szCs w:val="20"/>
          <w:lang w:val="en-US"/>
        </w:rPr>
        <w:t>IEEE - The Institute of Electrical and Electronics Engineers.</w:t>
      </w:r>
    </w:p>
    <w:p w14:paraId="08E18DD4" w14:textId="00521853" w:rsidR="4A6F696A" w:rsidRDefault="4A6F696A" w:rsidP="003408E6">
      <w:pPr>
        <w:pStyle w:val="Prrafodelista"/>
        <w:numPr>
          <w:ilvl w:val="0"/>
          <w:numId w:val="32"/>
        </w:numPr>
        <w:ind w:left="360"/>
        <w:jc w:val="both"/>
        <w:rPr>
          <w:rFonts w:ascii="Calibri" w:eastAsia="Calibri" w:hAnsi="Calibri" w:cs="Calibri"/>
          <w:sz w:val="20"/>
          <w:szCs w:val="20"/>
          <w:lang w:val="en-US"/>
        </w:rPr>
      </w:pPr>
      <w:r w:rsidRPr="62C29527">
        <w:rPr>
          <w:rFonts w:ascii="Calibri" w:eastAsia="Calibri" w:hAnsi="Calibri" w:cs="Calibri"/>
          <w:sz w:val="20"/>
          <w:szCs w:val="20"/>
          <w:lang w:val="en-US"/>
        </w:rPr>
        <w:t>UL - Underwriters Laboratories.</w:t>
      </w:r>
    </w:p>
    <w:p w14:paraId="13122C21" w14:textId="7F82A61F" w:rsidR="4A6F696A" w:rsidRDefault="4A6F696A" w:rsidP="003408E6">
      <w:pPr>
        <w:pStyle w:val="Prrafodelista"/>
        <w:numPr>
          <w:ilvl w:val="0"/>
          <w:numId w:val="32"/>
        </w:numPr>
        <w:ind w:left="360"/>
        <w:jc w:val="both"/>
        <w:rPr>
          <w:rFonts w:ascii="Calibri" w:eastAsia="Calibri" w:hAnsi="Calibri" w:cs="Calibri"/>
          <w:sz w:val="20"/>
          <w:szCs w:val="20"/>
          <w:lang w:val="en-US"/>
        </w:rPr>
      </w:pPr>
      <w:r w:rsidRPr="62C29527">
        <w:rPr>
          <w:rFonts w:ascii="Calibri" w:eastAsia="Calibri" w:hAnsi="Calibri" w:cs="Calibri"/>
          <w:sz w:val="20"/>
          <w:szCs w:val="20"/>
          <w:lang w:val="en-US"/>
        </w:rPr>
        <w:t>NFPA – National Fire Protection Association.</w:t>
      </w:r>
    </w:p>
    <w:p w14:paraId="07A86560" w14:textId="7487BB6E" w:rsidR="4A6F696A" w:rsidRDefault="4A6F696A" w:rsidP="003408E6">
      <w:pPr>
        <w:pStyle w:val="Prrafodelista"/>
        <w:numPr>
          <w:ilvl w:val="0"/>
          <w:numId w:val="32"/>
        </w:numPr>
        <w:ind w:left="360"/>
        <w:jc w:val="both"/>
        <w:rPr>
          <w:rFonts w:ascii="Calibri" w:eastAsia="Calibri" w:hAnsi="Calibri" w:cs="Calibri"/>
          <w:sz w:val="20"/>
          <w:szCs w:val="20"/>
        </w:rPr>
      </w:pPr>
      <w:r w:rsidRPr="62C29527">
        <w:rPr>
          <w:rFonts w:ascii="Calibri" w:eastAsia="Calibri" w:hAnsi="Calibri" w:cs="Calibri"/>
          <w:sz w:val="20"/>
          <w:szCs w:val="20"/>
        </w:rPr>
        <w:t>IFC – International Fire Code.</w:t>
      </w:r>
    </w:p>
    <w:p w14:paraId="37B9E980" w14:textId="37151E25"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EC8548B" w14:textId="13A4670F"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En cuanto al cumplimiento de la Normatividad Nacional sobre obligaciones laborales a cargo del implementador:</w:t>
      </w:r>
    </w:p>
    <w:p w14:paraId="48E156EB" w14:textId="275174E6"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327E4F1" w14:textId="1A29A745" w:rsidR="4A6F696A" w:rsidRDefault="4A6F696A" w:rsidP="003408E6">
      <w:pPr>
        <w:pStyle w:val="Prrafodelista"/>
        <w:numPr>
          <w:ilvl w:val="0"/>
          <w:numId w:val="31"/>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Cumplimiento del Sistema de Gestión en Seguridad y Salud en el trabajo.</w:t>
      </w:r>
    </w:p>
    <w:p w14:paraId="36363A09" w14:textId="0A64DCE9" w:rsidR="4A6F696A" w:rsidRDefault="4A6F696A" w:rsidP="003408E6">
      <w:pPr>
        <w:pStyle w:val="Prrafodelista"/>
        <w:numPr>
          <w:ilvl w:val="0"/>
          <w:numId w:val="31"/>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Normas en trabajo en alturas</w:t>
      </w:r>
    </w:p>
    <w:p w14:paraId="2100CFA1" w14:textId="11646943" w:rsidR="4A6F696A" w:rsidRDefault="4A6F696A" w:rsidP="003408E6">
      <w:pPr>
        <w:pStyle w:val="Prrafodelista"/>
        <w:numPr>
          <w:ilvl w:val="0"/>
          <w:numId w:val="31"/>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Normas en trabajo en espacios confinados (si aplica)</w:t>
      </w:r>
    </w:p>
    <w:p w14:paraId="41E2D9CA" w14:textId="2A6178FA" w:rsidR="4A6F696A" w:rsidRDefault="4A6F696A" w:rsidP="003408E6">
      <w:pPr>
        <w:pStyle w:val="Prrafodelista"/>
        <w:numPr>
          <w:ilvl w:val="0"/>
          <w:numId w:val="31"/>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Normas de Disposición Final de RCD</w:t>
      </w:r>
    </w:p>
    <w:p w14:paraId="68A09C9D" w14:textId="08686396" w:rsidR="4A6F696A" w:rsidRDefault="4A6F696A" w:rsidP="003408E6">
      <w:pPr>
        <w:pStyle w:val="Prrafodelista"/>
        <w:numPr>
          <w:ilvl w:val="0"/>
          <w:numId w:val="31"/>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Norma en disposición final de Residuos peligrosos y no peligrosos</w:t>
      </w:r>
    </w:p>
    <w:p w14:paraId="39EE1E88" w14:textId="35CA947C" w:rsidR="4A6F696A" w:rsidRDefault="4A6F696A" w:rsidP="003408E6">
      <w:pPr>
        <w:pStyle w:val="Prrafodelista"/>
        <w:numPr>
          <w:ilvl w:val="0"/>
          <w:numId w:val="31"/>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Normas en transportes de químicos (Si aplica)</w:t>
      </w:r>
    </w:p>
    <w:p w14:paraId="4E263FDF" w14:textId="7DD190C3"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87218A1" w14:textId="19FD8862" w:rsidR="4A6F696A" w:rsidRDefault="4A6F696A" w:rsidP="62C29527">
      <w:pPr>
        <w:pStyle w:val="Ttulo1"/>
        <w:jc w:val="both"/>
        <w:rPr>
          <w:rFonts w:ascii="Calibri" w:eastAsia="Calibri" w:hAnsi="Calibri" w:cs="Calibri"/>
          <w:lang w:val="es"/>
        </w:rPr>
      </w:pPr>
      <w:bookmarkStart w:id="7" w:name="_Toc828316074"/>
      <w:r w:rsidRPr="6F1EDA97">
        <w:rPr>
          <w:rFonts w:ascii="Calibri" w:eastAsia="Calibri" w:hAnsi="Calibri" w:cs="Calibri"/>
          <w:lang w:val="es"/>
        </w:rPr>
        <w:t>CARACTERÍSTICAS GENERALES DE L</w:t>
      </w:r>
      <w:r w:rsidR="28EFCC64" w:rsidRPr="6F1EDA97">
        <w:rPr>
          <w:rFonts w:ascii="Calibri" w:eastAsia="Calibri" w:hAnsi="Calibri" w:cs="Calibri"/>
          <w:lang w:val="es"/>
        </w:rPr>
        <w:t>OS EQUIPOS</w:t>
      </w:r>
      <w:bookmarkEnd w:id="7"/>
    </w:p>
    <w:p w14:paraId="522EDA9D" w14:textId="5F5C2539" w:rsidR="4A6F696A" w:rsidRDefault="4A6F696A" w:rsidP="62C29527">
      <w:pPr>
        <w:ind w:left="478"/>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B9E3ACD" w14:textId="3D418D2B" w:rsidR="4A6F696A" w:rsidRDefault="4A6F696A" w:rsidP="003408E6">
      <w:pPr>
        <w:pStyle w:val="Ttulo2"/>
        <w:numPr>
          <w:ilvl w:val="1"/>
          <w:numId w:val="33"/>
        </w:numPr>
        <w:ind w:left="478"/>
        <w:jc w:val="both"/>
        <w:rPr>
          <w:rFonts w:ascii="Calibri" w:eastAsia="Calibri" w:hAnsi="Calibri" w:cs="Calibri"/>
          <w:lang w:val="es"/>
        </w:rPr>
      </w:pPr>
      <w:bookmarkStart w:id="8" w:name="_Toc1855518189"/>
      <w:r w:rsidRPr="6F1EDA97">
        <w:rPr>
          <w:rFonts w:ascii="Calibri" w:eastAsia="Calibri" w:hAnsi="Calibri" w:cs="Calibri"/>
          <w:lang w:val="es"/>
        </w:rPr>
        <w:t>Condiciones generales</w:t>
      </w:r>
      <w:bookmarkEnd w:id="8"/>
    </w:p>
    <w:p w14:paraId="70FA8CE4" w14:textId="4CABE0A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B526214" w14:textId="04B14A94" w:rsidR="4A6F696A" w:rsidRDefault="4A6F696A" w:rsidP="62C29527">
      <w:pPr>
        <w:jc w:val="both"/>
        <w:rPr>
          <w:rFonts w:ascii="Calibri" w:eastAsia="Calibri" w:hAnsi="Calibri" w:cs="Calibri"/>
          <w:sz w:val="20"/>
          <w:szCs w:val="20"/>
        </w:rPr>
      </w:pPr>
      <w:r w:rsidRPr="62C29527">
        <w:rPr>
          <w:rFonts w:ascii="Calibri" w:eastAsia="Calibri" w:hAnsi="Calibri" w:cs="Calibri"/>
          <w:sz w:val="20"/>
          <w:szCs w:val="20"/>
        </w:rPr>
        <w:t>Los equipos, componentes y materiales, incluidos en el suministro e instalación, serán nuevos, de primera calidad, considerando materiales adecuados para zonas de alta salinidad, alta humedad, radiación solar continua, de contar con certificado de producto RETIE, según aplique y adecuados para dar cumplimiento y/o superar los requerimientos especificados y deberán corresponder a diseños normales del fabricante, con los cuales se tenga experiencia completamente satisfactoria, en usos y condiciones similares a las especificadas en este documento. Este requerimiento incluye el cumplimiento de los valores y características operacionales especificadas, disponibilidad, confiabilidad, calidad de los materiales, durabilidad del equipo en general, facilidades para mantenimiento, reparación, sustitución, etc.</w:t>
      </w:r>
    </w:p>
    <w:p w14:paraId="4E5B79A5" w14:textId="3BF98EC2"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D3FC176" w14:textId="328BBF4C"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En el suministro e instalación no deberán omitirse partes o componentes requeridos, excepto los que sean específicamente señalados en estas especificaciones y/o en las especificaciones técnicas de los equipos.</w:t>
      </w:r>
    </w:p>
    <w:p w14:paraId="2BF341A5" w14:textId="02E7F6C5"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C90B2E7" w14:textId="07F5953C"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Los equipos y componentes, en general, serán seleccionados para una operación continua, prolongada y en condiciones climáticas propias de la zona y de manera segura, teniendo especial consideración en las facilidades para su operación, inspección, limpieza, mantenimiento, reparación y sustitución, de acuerdo con las condiciones de altitud, climáticas y ambientales del lugar de instalación, las características particulares del sistema eléctrico para el cual prestarán servicio, la seguridad de las personas y la integridad física de los equipos e instalaciones.</w:t>
      </w:r>
    </w:p>
    <w:p w14:paraId="459AF0EE" w14:textId="27559DB9"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3EF539C" w14:textId="206E94F2"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Los diferentes trabajos serán coordinados por el personal profesional e idóneo de manera que las actividades se realicen con calidad de la forma más rápida, segura y eficiente posible.</w:t>
      </w:r>
    </w:p>
    <w:p w14:paraId="39BAA4F2" w14:textId="0F06F7F1"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EE41E4A" w14:textId="5362604C" w:rsidR="4A6F696A" w:rsidRDefault="4A6F696A" w:rsidP="62C29527">
      <w:pPr>
        <w:jc w:val="both"/>
        <w:rPr>
          <w:rFonts w:ascii="Calibri" w:eastAsia="Calibri" w:hAnsi="Calibri" w:cs="Calibri"/>
          <w:sz w:val="20"/>
          <w:szCs w:val="20"/>
        </w:rPr>
      </w:pPr>
      <w:r w:rsidRPr="38A25E75">
        <w:rPr>
          <w:rFonts w:ascii="Calibri" w:eastAsia="Calibri" w:hAnsi="Calibri" w:cs="Calibri"/>
          <w:sz w:val="20"/>
          <w:szCs w:val="20"/>
        </w:rPr>
        <w:t>El dimensionamiento de las cantidades de los recursos de mano de obra, maquinaria y equipos se hará de tal forma que se lleve a cabo el cumplimiento de los tiempos establecidos en el Plan de Trabajo Detallado entregado por el implementador y los ajustes necesarios que se hagan sobre éste.</w:t>
      </w:r>
    </w:p>
    <w:p w14:paraId="63D43B17" w14:textId="3435633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2A8C1AE0" w14:textId="6ACAB376" w:rsidR="4A6F696A" w:rsidRDefault="4A6F696A" w:rsidP="003408E6">
      <w:pPr>
        <w:pStyle w:val="Ttulo2"/>
        <w:numPr>
          <w:ilvl w:val="1"/>
          <w:numId w:val="33"/>
        </w:numPr>
        <w:ind w:left="478"/>
        <w:jc w:val="both"/>
        <w:rPr>
          <w:rFonts w:ascii="Calibri" w:eastAsia="Calibri" w:hAnsi="Calibri" w:cs="Calibri"/>
          <w:lang w:val="es"/>
        </w:rPr>
      </w:pPr>
      <w:bookmarkStart w:id="9" w:name="_Toc891056791"/>
      <w:r w:rsidRPr="6F1EDA97">
        <w:rPr>
          <w:rFonts w:ascii="Calibri" w:eastAsia="Calibri" w:hAnsi="Calibri" w:cs="Calibri"/>
          <w:lang w:val="es"/>
        </w:rPr>
        <w:t>Condiciones de servicio</w:t>
      </w:r>
      <w:bookmarkEnd w:id="9"/>
    </w:p>
    <w:p w14:paraId="4A5FD522" w14:textId="5705604A" w:rsidR="4A6F696A" w:rsidRDefault="4A6F696A" w:rsidP="62C29527">
      <w:pPr>
        <w:jc w:val="both"/>
        <w:rPr>
          <w:rFonts w:ascii="Calibri" w:eastAsia="Calibri" w:hAnsi="Calibri" w:cs="Calibri"/>
          <w:b/>
          <w:bCs/>
          <w:i/>
          <w:iCs/>
          <w:sz w:val="20"/>
          <w:szCs w:val="20"/>
          <w:lang w:val="es"/>
        </w:rPr>
      </w:pPr>
      <w:r w:rsidRPr="62C29527">
        <w:rPr>
          <w:rFonts w:ascii="Calibri" w:eastAsia="Calibri" w:hAnsi="Calibri" w:cs="Calibri"/>
          <w:b/>
          <w:bCs/>
          <w:i/>
          <w:iCs/>
          <w:sz w:val="20"/>
          <w:szCs w:val="20"/>
          <w:lang w:val="es"/>
        </w:rPr>
        <w:t xml:space="preserve"> </w:t>
      </w:r>
    </w:p>
    <w:p w14:paraId="08C07D54" w14:textId="38F5E3ED" w:rsidR="4A6F696A" w:rsidRDefault="4A6F696A" w:rsidP="62C29527">
      <w:pPr>
        <w:jc w:val="both"/>
        <w:rPr>
          <w:rFonts w:ascii="Calibri" w:eastAsia="Calibri" w:hAnsi="Calibri" w:cs="Calibri"/>
          <w:sz w:val="20"/>
          <w:szCs w:val="20"/>
          <w:lang w:val="es"/>
        </w:rPr>
      </w:pPr>
      <w:r w:rsidRPr="62C29527">
        <w:rPr>
          <w:rFonts w:ascii="Calibri" w:eastAsia="Calibri" w:hAnsi="Calibri" w:cs="Calibri"/>
          <w:b/>
          <w:bCs/>
          <w:sz w:val="20"/>
          <w:szCs w:val="20"/>
          <w:lang w:val="es"/>
        </w:rPr>
        <w:t xml:space="preserve">Condiciones de Operación: </w:t>
      </w:r>
      <w:r w:rsidRPr="62C29527">
        <w:rPr>
          <w:rFonts w:ascii="Calibri" w:eastAsia="Calibri" w:hAnsi="Calibri" w:cs="Calibri"/>
          <w:sz w:val="20"/>
          <w:szCs w:val="20"/>
          <w:lang w:val="es"/>
        </w:rPr>
        <w:t>Los sistemas serán diseñados y validados para operar sin limitaciones, a plena capacidad, en las condiciones ambientales y climáticas, de altitud y humedad relativa existente en el lugar de instalación y en concordancia con las características del sistema eléctrico indicadas en el presente documento, y otros requerimientos particulares establecidos en las especificaciones técnicas de los equipos.</w:t>
      </w:r>
    </w:p>
    <w:p w14:paraId="0280BB37" w14:textId="5905E520"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670F4FE" w14:textId="630EF040" w:rsidR="4A6F696A" w:rsidRDefault="4A6F696A" w:rsidP="38A25E75">
      <w:pPr>
        <w:jc w:val="both"/>
        <w:rPr>
          <w:rFonts w:ascii="Calibri" w:eastAsia="Calibri" w:hAnsi="Calibri" w:cs="Calibri"/>
          <w:sz w:val="20"/>
          <w:szCs w:val="20"/>
          <w:lang w:val="es"/>
        </w:rPr>
      </w:pPr>
      <w:r w:rsidRPr="38A25E75">
        <w:rPr>
          <w:rFonts w:ascii="Calibri" w:eastAsia="Calibri" w:hAnsi="Calibri" w:cs="Calibri"/>
          <w:b/>
          <w:bCs/>
          <w:sz w:val="20"/>
          <w:szCs w:val="20"/>
          <w:lang w:val="es"/>
        </w:rPr>
        <w:t xml:space="preserve">Suministro de materiales: </w:t>
      </w:r>
      <w:r w:rsidRPr="38A25E75">
        <w:rPr>
          <w:rFonts w:ascii="Calibri" w:eastAsia="Calibri" w:hAnsi="Calibri" w:cs="Calibri"/>
          <w:sz w:val="20"/>
          <w:szCs w:val="20"/>
          <w:lang w:val="es"/>
        </w:rPr>
        <w:t>Es el proceso de la compra de los materiales necesarios y que estén disponibles en los sitios de</w:t>
      </w:r>
      <w:r w:rsidR="594BFF5B" w:rsidRPr="38A25E75">
        <w:rPr>
          <w:rFonts w:ascii="Calibri" w:eastAsia="Calibri" w:hAnsi="Calibri" w:cs="Calibri"/>
          <w:sz w:val="20"/>
          <w:szCs w:val="20"/>
          <w:lang w:val="es"/>
        </w:rPr>
        <w:t xml:space="preserve"> la iniciativa</w:t>
      </w:r>
      <w:r w:rsidRPr="38A25E75">
        <w:rPr>
          <w:rFonts w:ascii="Calibri" w:eastAsia="Calibri" w:hAnsi="Calibri" w:cs="Calibri"/>
          <w:sz w:val="20"/>
          <w:szCs w:val="20"/>
          <w:lang w:val="es"/>
        </w:rPr>
        <w:t>, asegurando la gestión eficiente de los recursos requeridos en los laboratorios tecnológicos de</w:t>
      </w:r>
      <w:r w:rsidR="44BA9A50" w:rsidRPr="38A25E75">
        <w:rPr>
          <w:rFonts w:ascii="Calibri" w:eastAsia="Calibri" w:hAnsi="Calibri" w:cs="Calibri"/>
          <w:sz w:val="20"/>
          <w:szCs w:val="20"/>
          <w:lang w:val="es"/>
        </w:rPr>
        <w:t xml:space="preserve"> la iniciativa</w:t>
      </w:r>
      <w:r w:rsidRPr="38A25E75">
        <w:rPr>
          <w:rFonts w:ascii="Calibri" w:eastAsia="Calibri" w:hAnsi="Calibri" w:cs="Calibri"/>
          <w:sz w:val="20"/>
          <w:szCs w:val="20"/>
          <w:lang w:val="es"/>
        </w:rPr>
        <w:t>. Esto incluye la gestión de inventarios y su almacenamiento adecuado.</w:t>
      </w:r>
    </w:p>
    <w:p w14:paraId="0516D176" w14:textId="5D73FCEB" w:rsidR="4A6F696A" w:rsidRDefault="4A6F696A" w:rsidP="62C29527">
      <w:pPr>
        <w:jc w:val="both"/>
        <w:rPr>
          <w:rFonts w:ascii="Calibri" w:eastAsia="Calibri" w:hAnsi="Calibri" w:cs="Calibri"/>
          <w:b/>
          <w:bCs/>
          <w:sz w:val="20"/>
          <w:szCs w:val="20"/>
          <w:lang w:val="es"/>
        </w:rPr>
      </w:pPr>
      <w:r w:rsidRPr="62C29527">
        <w:rPr>
          <w:rFonts w:ascii="Calibri" w:eastAsia="Calibri" w:hAnsi="Calibri" w:cs="Calibri"/>
          <w:b/>
          <w:bCs/>
          <w:sz w:val="20"/>
          <w:szCs w:val="20"/>
          <w:lang w:val="es"/>
        </w:rPr>
        <w:t xml:space="preserve"> </w:t>
      </w:r>
    </w:p>
    <w:p w14:paraId="2695CB59" w14:textId="2ADEEC1B" w:rsidR="4A6F696A" w:rsidRDefault="4A6F696A" w:rsidP="62C29527">
      <w:pPr>
        <w:jc w:val="both"/>
        <w:rPr>
          <w:rFonts w:ascii="Calibri" w:eastAsia="Calibri" w:hAnsi="Calibri" w:cs="Calibri"/>
          <w:sz w:val="20"/>
          <w:szCs w:val="20"/>
          <w:lang w:val="es"/>
        </w:rPr>
      </w:pPr>
      <w:r w:rsidRPr="38A25E75">
        <w:rPr>
          <w:rFonts w:ascii="Calibri" w:eastAsia="Calibri" w:hAnsi="Calibri" w:cs="Calibri"/>
          <w:b/>
          <w:bCs/>
          <w:sz w:val="20"/>
          <w:szCs w:val="20"/>
          <w:lang w:val="es"/>
        </w:rPr>
        <w:t xml:space="preserve">Transporte de materiales: </w:t>
      </w:r>
      <w:r w:rsidRPr="38A25E75">
        <w:rPr>
          <w:rFonts w:ascii="Calibri" w:eastAsia="Calibri" w:hAnsi="Calibri" w:cs="Calibri"/>
          <w:sz w:val="20"/>
          <w:szCs w:val="20"/>
          <w:lang w:val="es"/>
        </w:rPr>
        <w:t>Consiste en el movimiento físico de los materiales desde un lugar de la compra o suministro hasta los sitios de</w:t>
      </w:r>
      <w:r w:rsidR="5B5D1D28" w:rsidRPr="38A25E75">
        <w:rPr>
          <w:rFonts w:ascii="Calibri" w:eastAsia="Calibri" w:hAnsi="Calibri" w:cs="Calibri"/>
          <w:sz w:val="20"/>
          <w:szCs w:val="20"/>
          <w:lang w:val="es"/>
        </w:rPr>
        <w:t xml:space="preserve"> la iniciativa</w:t>
      </w:r>
      <w:r w:rsidRPr="38A25E75">
        <w:rPr>
          <w:rFonts w:ascii="Calibri" w:eastAsia="Calibri" w:hAnsi="Calibri" w:cs="Calibri"/>
          <w:sz w:val="20"/>
          <w:szCs w:val="20"/>
          <w:lang w:val="es"/>
        </w:rPr>
        <w:t>. Esto puede incluir el transporte desde el proveedor o fabricante hasta el sitio de</w:t>
      </w:r>
      <w:r w:rsidR="00316C8B" w:rsidRPr="38A25E75">
        <w:rPr>
          <w:rFonts w:ascii="Calibri" w:eastAsia="Calibri" w:hAnsi="Calibri" w:cs="Calibri"/>
          <w:sz w:val="20"/>
          <w:szCs w:val="20"/>
          <w:lang w:val="es"/>
        </w:rPr>
        <w:t xml:space="preserve"> la iniciativa </w:t>
      </w:r>
      <w:r w:rsidRPr="38A25E75">
        <w:rPr>
          <w:rFonts w:ascii="Calibri" w:eastAsia="Calibri" w:hAnsi="Calibri" w:cs="Calibri"/>
          <w:sz w:val="20"/>
          <w:szCs w:val="20"/>
          <w:lang w:val="es"/>
        </w:rPr>
        <w:t>se seleccionará el transporte adecuado (carretera, ferrocarril, marítimo y/o aéreo, entre otros) y gestionará la logística de carga y descarga.</w:t>
      </w:r>
    </w:p>
    <w:p w14:paraId="58C5BA05" w14:textId="699725FE" w:rsidR="4A6F696A" w:rsidRDefault="4A6F696A" w:rsidP="62C29527">
      <w:pPr>
        <w:jc w:val="both"/>
        <w:rPr>
          <w:rFonts w:ascii="Calibri" w:eastAsia="Calibri" w:hAnsi="Calibri" w:cs="Calibri"/>
          <w:b/>
          <w:bCs/>
          <w:sz w:val="20"/>
          <w:szCs w:val="20"/>
          <w:lang w:val="es"/>
        </w:rPr>
      </w:pPr>
      <w:r w:rsidRPr="62C29527">
        <w:rPr>
          <w:rFonts w:ascii="Calibri" w:eastAsia="Calibri" w:hAnsi="Calibri" w:cs="Calibri"/>
          <w:b/>
          <w:bCs/>
          <w:sz w:val="20"/>
          <w:szCs w:val="20"/>
          <w:lang w:val="es"/>
        </w:rPr>
        <w:t xml:space="preserve"> </w:t>
      </w:r>
    </w:p>
    <w:p w14:paraId="223EEB14" w14:textId="4AEA8CDF" w:rsidR="4A6F696A" w:rsidRDefault="4A6F696A" w:rsidP="62C29527">
      <w:pPr>
        <w:jc w:val="both"/>
        <w:rPr>
          <w:rFonts w:ascii="Calibri" w:eastAsia="Calibri" w:hAnsi="Calibri" w:cs="Calibri"/>
          <w:b/>
          <w:bCs/>
          <w:sz w:val="20"/>
          <w:szCs w:val="20"/>
          <w:lang w:val="es"/>
        </w:rPr>
      </w:pPr>
      <w:r w:rsidRPr="38A25E75">
        <w:rPr>
          <w:rFonts w:ascii="Calibri" w:eastAsia="Calibri" w:hAnsi="Calibri" w:cs="Calibri"/>
          <w:b/>
          <w:bCs/>
          <w:sz w:val="20"/>
          <w:szCs w:val="20"/>
          <w:lang w:val="es"/>
        </w:rPr>
        <w:t xml:space="preserve">Diseños de instalaciones eléctricas: </w:t>
      </w:r>
      <w:r w:rsidRPr="38A25E75">
        <w:rPr>
          <w:rFonts w:ascii="Calibri" w:eastAsia="Calibri" w:hAnsi="Calibri" w:cs="Calibri"/>
          <w:sz w:val="20"/>
          <w:szCs w:val="20"/>
          <w:lang w:val="es"/>
        </w:rPr>
        <w:t xml:space="preserve">Los sistemas serán entregados con sus respectivos diseños, memorias de cálculo, cuadros de carga y diagramas unifilares. La selección de protecciones coincidirá con los resultados de los cuadros de cargas, descritas en las memorias de cálculo y cumpliendo la normativa, las memorias de cálculo deberán tener en cuenta la tipología y cumplir con el dimensionamiento requerido para los equipos y sistemas de los laboratorios tecnológicos.  </w:t>
      </w:r>
    </w:p>
    <w:p w14:paraId="526479AE" w14:textId="50471F1B" w:rsidR="4A6F696A" w:rsidRDefault="4A6F696A" w:rsidP="62C29527">
      <w:pPr>
        <w:jc w:val="both"/>
        <w:rPr>
          <w:rFonts w:ascii="Calibri" w:eastAsia="Calibri" w:hAnsi="Calibri" w:cs="Calibri"/>
          <w:sz w:val="20"/>
          <w:szCs w:val="20"/>
        </w:rPr>
      </w:pPr>
      <w:r w:rsidRPr="62C29527">
        <w:rPr>
          <w:rFonts w:ascii="Calibri" w:eastAsia="Calibri" w:hAnsi="Calibri" w:cs="Calibri"/>
          <w:sz w:val="20"/>
          <w:szCs w:val="20"/>
        </w:rPr>
        <w:t xml:space="preserve"> </w:t>
      </w:r>
    </w:p>
    <w:p w14:paraId="4BA02866" w14:textId="17B83440" w:rsidR="4A6F696A" w:rsidRDefault="4A6F696A" w:rsidP="62C29527">
      <w:pPr>
        <w:jc w:val="both"/>
        <w:rPr>
          <w:rFonts w:ascii="Calibri" w:eastAsia="Calibri" w:hAnsi="Calibri" w:cs="Calibri"/>
          <w:sz w:val="20"/>
          <w:szCs w:val="20"/>
        </w:rPr>
      </w:pPr>
      <w:r w:rsidRPr="62C29527">
        <w:rPr>
          <w:rFonts w:ascii="Calibri" w:eastAsia="Calibri" w:hAnsi="Calibri" w:cs="Calibri"/>
          <w:sz w:val="20"/>
          <w:szCs w:val="20"/>
        </w:rPr>
        <w:t>Dicho dimensionamiento cumplirá con las normativas eléctricas vigentes descritas en el numeral 2 del presente documento, por otra parte, se tendrá en cuenta los cálculos obtenidos de los cuadros de carga para la selección de protecciones (Diferencial y Breaker), la respectiva puesta a tierra y calibre de cableado eléctrico.</w:t>
      </w:r>
    </w:p>
    <w:p w14:paraId="09005AF2" w14:textId="57ADB3B0" w:rsidR="4A6F696A" w:rsidRDefault="4A6F696A" w:rsidP="62C29527">
      <w:pPr>
        <w:jc w:val="both"/>
        <w:rPr>
          <w:rFonts w:ascii="Calibri" w:eastAsia="Calibri" w:hAnsi="Calibri" w:cs="Calibri"/>
          <w:sz w:val="20"/>
          <w:szCs w:val="20"/>
          <w:lang w:val="es"/>
        </w:rPr>
      </w:pPr>
      <w:r w:rsidRPr="3C234025">
        <w:rPr>
          <w:rFonts w:ascii="Calibri" w:eastAsia="Calibri" w:hAnsi="Calibri" w:cs="Calibri"/>
          <w:sz w:val="20"/>
          <w:szCs w:val="20"/>
          <w:lang w:val="es"/>
        </w:rPr>
        <w:t xml:space="preserve"> </w:t>
      </w:r>
    </w:p>
    <w:p w14:paraId="26AF42AA" w14:textId="4EB7B664" w:rsidR="3C234025" w:rsidRDefault="3C234025" w:rsidP="3C234025">
      <w:pPr>
        <w:jc w:val="both"/>
        <w:rPr>
          <w:rFonts w:ascii="Calibri" w:eastAsia="Calibri" w:hAnsi="Calibri" w:cs="Calibri"/>
          <w:sz w:val="20"/>
          <w:szCs w:val="20"/>
          <w:lang w:val="es"/>
        </w:rPr>
      </w:pPr>
    </w:p>
    <w:p w14:paraId="7155A13C" w14:textId="514B2381" w:rsidR="4A6F696A" w:rsidRDefault="4A6F696A" w:rsidP="003408E6">
      <w:pPr>
        <w:pStyle w:val="Ttulo2"/>
        <w:numPr>
          <w:ilvl w:val="1"/>
          <w:numId w:val="33"/>
        </w:numPr>
        <w:ind w:left="478"/>
        <w:jc w:val="both"/>
        <w:rPr>
          <w:rFonts w:ascii="Calibri" w:eastAsia="Calibri" w:hAnsi="Calibri" w:cs="Calibri"/>
          <w:lang w:val="es"/>
        </w:rPr>
      </w:pPr>
      <w:bookmarkStart w:id="10" w:name="_Toc498468599"/>
      <w:r w:rsidRPr="6F1EDA97">
        <w:rPr>
          <w:rFonts w:ascii="Calibri" w:eastAsia="Calibri" w:hAnsi="Calibri" w:cs="Calibri"/>
          <w:lang w:val="es"/>
        </w:rPr>
        <w:t>Características</w:t>
      </w:r>
      <w:bookmarkEnd w:id="10"/>
      <w:r w:rsidRPr="6F1EDA97">
        <w:rPr>
          <w:rFonts w:ascii="Calibri" w:eastAsia="Calibri" w:hAnsi="Calibri" w:cs="Calibri"/>
          <w:lang w:val="es"/>
        </w:rPr>
        <w:t xml:space="preserve"> </w:t>
      </w:r>
    </w:p>
    <w:p w14:paraId="5C475CF1" w14:textId="7C51A33F" w:rsidR="4A6F696A" w:rsidRDefault="4A6F696A" w:rsidP="62C29527">
      <w:pPr>
        <w:jc w:val="both"/>
        <w:rPr>
          <w:rFonts w:ascii="Calibri" w:eastAsia="Calibri" w:hAnsi="Calibri" w:cs="Calibri"/>
          <w:b/>
          <w:bCs/>
          <w:i/>
          <w:iCs/>
          <w:sz w:val="20"/>
          <w:szCs w:val="20"/>
          <w:lang w:val="es"/>
        </w:rPr>
      </w:pPr>
      <w:r w:rsidRPr="62C29527">
        <w:rPr>
          <w:rFonts w:ascii="Calibri" w:eastAsia="Calibri" w:hAnsi="Calibri" w:cs="Calibri"/>
          <w:b/>
          <w:bCs/>
          <w:i/>
          <w:iCs/>
          <w:sz w:val="20"/>
          <w:szCs w:val="20"/>
          <w:lang w:val="es"/>
        </w:rPr>
        <w:t xml:space="preserve"> </w:t>
      </w:r>
    </w:p>
    <w:p w14:paraId="34E10424" w14:textId="7826CFE3" w:rsidR="4A6F696A" w:rsidRDefault="4A6F696A" w:rsidP="62C29527">
      <w:pPr>
        <w:jc w:val="both"/>
        <w:rPr>
          <w:rFonts w:ascii="Calibri" w:eastAsia="Calibri" w:hAnsi="Calibri" w:cs="Calibri"/>
          <w:sz w:val="20"/>
          <w:szCs w:val="20"/>
        </w:rPr>
      </w:pPr>
      <w:r w:rsidRPr="62C29527">
        <w:rPr>
          <w:rFonts w:ascii="Calibri" w:eastAsia="Calibri" w:hAnsi="Calibri" w:cs="Calibri"/>
          <w:b/>
          <w:bCs/>
          <w:sz w:val="20"/>
          <w:szCs w:val="20"/>
        </w:rPr>
        <w:t xml:space="preserve">Galvanizado: </w:t>
      </w:r>
      <w:r w:rsidRPr="62C29527">
        <w:rPr>
          <w:rFonts w:ascii="Calibri" w:eastAsia="Calibri" w:hAnsi="Calibri" w:cs="Calibri"/>
          <w:sz w:val="20"/>
          <w:szCs w:val="20"/>
        </w:rPr>
        <w:t xml:space="preserve">Para los elementos galvanizados, el Contratista implementador deberá suministrar el informe de pruebas del galvanizado que serán empleados cuando así se solicite de acuerdo con la norma ISO 1459: </w:t>
      </w:r>
      <w:r w:rsidRPr="62C29527">
        <w:rPr>
          <w:rFonts w:ascii="Calibri" w:eastAsia="Calibri" w:hAnsi="Calibri" w:cs="Calibri"/>
          <w:i/>
          <w:iCs/>
          <w:sz w:val="20"/>
          <w:szCs w:val="20"/>
        </w:rPr>
        <w:t>“Metallic coatings protections against corrossion by hot dip galvanizing-Guiding principles"</w:t>
      </w:r>
      <w:r w:rsidRPr="62C29527">
        <w:rPr>
          <w:rFonts w:ascii="Calibri" w:eastAsia="Calibri" w:hAnsi="Calibri" w:cs="Calibri"/>
          <w:sz w:val="20"/>
          <w:szCs w:val="20"/>
        </w:rPr>
        <w:t>, o equivalente y para el nivel de corrosividad del sitio, siendo 25 años en condiciones C4 el mínimo aceptable.</w:t>
      </w:r>
    </w:p>
    <w:p w14:paraId="1A42FE38" w14:textId="3F28D08A"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02C1E44" w14:textId="116B3C08" w:rsidR="4A6F696A" w:rsidRDefault="4A6F696A" w:rsidP="62C29527">
      <w:pPr>
        <w:jc w:val="both"/>
        <w:rPr>
          <w:rFonts w:ascii="Calibri" w:eastAsia="Calibri" w:hAnsi="Calibri" w:cs="Calibri"/>
          <w:sz w:val="20"/>
          <w:szCs w:val="20"/>
        </w:rPr>
      </w:pPr>
      <w:r w:rsidRPr="62C29527">
        <w:rPr>
          <w:rFonts w:ascii="Calibri" w:eastAsia="Calibri" w:hAnsi="Calibri" w:cs="Calibri"/>
          <w:b/>
          <w:bCs/>
          <w:sz w:val="20"/>
          <w:szCs w:val="20"/>
        </w:rPr>
        <w:t xml:space="preserve">Protección de superficies: </w:t>
      </w:r>
      <w:r w:rsidRPr="62C29527">
        <w:rPr>
          <w:rFonts w:ascii="Calibri" w:eastAsia="Calibri" w:hAnsi="Calibri" w:cs="Calibri"/>
          <w:sz w:val="20"/>
          <w:szCs w:val="20"/>
        </w:rPr>
        <w:t>Todos los equipos y materiales de uso exterior e interior serán diseñados e instalados de modo tal que no se produzca acumulación de agua en ninguna de sus partes y/o degradación por oxidación, por humedad o salinidad. No se permitirá el uso de fundición de acero en piezas de equipos que se encuentren bajo tensión, o que estén sometidas a impactos. Especial precaución se deberá tomar en la selección y/o protección de los componentes, para prevenir fenómenos de corrosión. Todas las manillas, manivelas, botones u otro tipo de dispositivo similares estarán provistos de una protección adecuada al ambiente en que se encuentren.</w:t>
      </w:r>
    </w:p>
    <w:p w14:paraId="07CBF010" w14:textId="5EF56A52"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4DA19A0" w14:textId="2A41B84F" w:rsidR="4A6F696A" w:rsidRDefault="4A6F696A" w:rsidP="62C29527">
      <w:pPr>
        <w:jc w:val="both"/>
        <w:rPr>
          <w:rFonts w:ascii="Calibri" w:eastAsia="Calibri" w:hAnsi="Calibri" w:cs="Calibri"/>
          <w:sz w:val="20"/>
          <w:szCs w:val="20"/>
          <w:lang w:val="es"/>
        </w:rPr>
      </w:pPr>
      <w:r w:rsidRPr="62C29527">
        <w:rPr>
          <w:rFonts w:ascii="Calibri" w:eastAsia="Calibri" w:hAnsi="Calibri" w:cs="Calibri"/>
          <w:b/>
          <w:bCs/>
          <w:sz w:val="20"/>
          <w:szCs w:val="20"/>
          <w:lang w:val="es"/>
        </w:rPr>
        <w:t xml:space="preserve">Marcas y placas de identificación de equipos: </w:t>
      </w:r>
      <w:r w:rsidRPr="62C29527">
        <w:rPr>
          <w:rFonts w:ascii="Calibri" w:eastAsia="Calibri" w:hAnsi="Calibri" w:cs="Calibri"/>
          <w:sz w:val="20"/>
          <w:szCs w:val="20"/>
          <w:lang w:val="es"/>
        </w:rPr>
        <w:t>Todas las placas de identificación de uso exterior serán de material resistente a la corrosión y de color permanente con el objeto de reducir considerablemente la degradación por la exposición a la radiación solar.</w:t>
      </w:r>
    </w:p>
    <w:p w14:paraId="5FA5A672" w14:textId="08FD362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ADC62D4" w14:textId="4A328758" w:rsidR="4A6F696A" w:rsidRDefault="4A6F696A" w:rsidP="62C29527">
      <w:pPr>
        <w:jc w:val="both"/>
        <w:rPr>
          <w:rFonts w:ascii="Calibri" w:eastAsia="Calibri" w:hAnsi="Calibri" w:cs="Calibri"/>
          <w:sz w:val="20"/>
          <w:szCs w:val="20"/>
        </w:rPr>
      </w:pPr>
      <w:r w:rsidRPr="62C29527">
        <w:rPr>
          <w:rFonts w:ascii="Calibri" w:eastAsia="Calibri" w:hAnsi="Calibri" w:cs="Calibri"/>
          <w:sz w:val="20"/>
          <w:szCs w:val="20"/>
        </w:rPr>
        <w:t>Los equipos y/o dispositivos que formen parte de los laboratorios tecnológicos deberán ser identificados con una placa permanente, grabada en forma indeleble, con el nombre y número de serial asignado por el fabricante, escrita en número o código de barras, en caso de que no se cuente con ello, se deberá dar una codificación. El material de las placas de identificación, como así mismo su contenido, será sometido a la aprobación de la interventoría y/o supervisión. Dichas placas deberán ser fijadas por medio de remaches o pegamento adecuado a las condiciones medioambientales.</w:t>
      </w:r>
    </w:p>
    <w:p w14:paraId="553079A1" w14:textId="60A66285"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6CF38822" w14:textId="7B57D6F8"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Adicionalmente, se proveerán otras placas de identificación, en el interior y/o la parte frontal de los gabinetes, para identificar dispositivos, funciones, posiciones, cargas servidas, clase de protección IP e IK, etc., de acuerdo con los requerimientos de la interventoría y/o supervisión y los planos correspondientes.</w:t>
      </w:r>
    </w:p>
    <w:p w14:paraId="53A489AD" w14:textId="6F06982B"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68A77D38" w14:textId="2A8E7256"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Cada equipo y/o componente dispondrá de una placa de características del equipo, la que será de acero inoxidable, e incluirá por lo menos la siguiente información:</w:t>
      </w:r>
    </w:p>
    <w:p w14:paraId="2EDC81C3" w14:textId="212EC7D1"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FE37DB7" w14:textId="04D0B7C5" w:rsidR="4A6F696A" w:rsidRDefault="4A6F696A" w:rsidP="62C29527">
      <w:pPr>
        <w:pStyle w:val="Sinespaciado"/>
        <w:jc w:val="both"/>
        <w:rPr>
          <w:rFonts w:ascii="Calibri" w:eastAsia="Calibri" w:hAnsi="Calibri" w:cs="Calibri"/>
          <w:sz w:val="20"/>
          <w:szCs w:val="20"/>
          <w:lang w:val="es-ES"/>
        </w:rPr>
      </w:pPr>
      <w:r w:rsidRPr="62C29527">
        <w:rPr>
          <w:rFonts w:ascii="Calibri" w:eastAsia="Calibri" w:hAnsi="Calibri" w:cs="Calibri"/>
          <w:sz w:val="20"/>
          <w:szCs w:val="20"/>
          <w:lang w:val="es-ES"/>
        </w:rPr>
        <w:t>Si es de tipo eléctrico:</w:t>
      </w:r>
    </w:p>
    <w:p w14:paraId="7AD8B9AD" w14:textId="1B4EED94" w:rsidR="4A6F696A" w:rsidRDefault="4A6F696A" w:rsidP="62C29527">
      <w:pPr>
        <w:pStyle w:val="Sinespaciado"/>
        <w:jc w:val="both"/>
        <w:rPr>
          <w:rFonts w:ascii="Calibri" w:eastAsia="Calibri" w:hAnsi="Calibri" w:cs="Calibri"/>
          <w:sz w:val="20"/>
          <w:szCs w:val="20"/>
          <w:lang w:val="es-ES"/>
        </w:rPr>
      </w:pPr>
      <w:r w:rsidRPr="62C29527">
        <w:rPr>
          <w:rFonts w:ascii="Calibri" w:eastAsia="Calibri" w:hAnsi="Calibri" w:cs="Calibri"/>
          <w:sz w:val="20"/>
          <w:szCs w:val="20"/>
          <w:lang w:val="es-ES"/>
        </w:rPr>
        <w:t xml:space="preserve"> </w:t>
      </w:r>
    </w:p>
    <w:p w14:paraId="2B37B40D" w14:textId="363C816C" w:rsidR="4A6F696A" w:rsidRDefault="4A6F696A" w:rsidP="003408E6">
      <w:pPr>
        <w:pStyle w:val="Sinespaciado"/>
        <w:numPr>
          <w:ilvl w:val="0"/>
          <w:numId w:val="30"/>
        </w:numPr>
        <w:jc w:val="both"/>
        <w:rPr>
          <w:rFonts w:ascii="Calibri" w:eastAsia="Calibri" w:hAnsi="Calibri" w:cs="Calibri"/>
          <w:sz w:val="20"/>
          <w:szCs w:val="20"/>
          <w:lang w:val="es-ES"/>
        </w:rPr>
      </w:pPr>
      <w:r w:rsidRPr="62C29527">
        <w:rPr>
          <w:rFonts w:ascii="Calibri" w:eastAsia="Calibri" w:hAnsi="Calibri" w:cs="Calibri"/>
          <w:sz w:val="20"/>
          <w:szCs w:val="20"/>
          <w:lang w:val="es-ES"/>
        </w:rPr>
        <w:t>Marca, tipo, modelo, N.º de serie y año de fabricación.</w:t>
      </w:r>
    </w:p>
    <w:p w14:paraId="4D0D0A44" w14:textId="71BC1F18" w:rsidR="4A6F696A" w:rsidRDefault="4A6F696A" w:rsidP="003408E6">
      <w:pPr>
        <w:pStyle w:val="Sinespaciado"/>
        <w:numPr>
          <w:ilvl w:val="0"/>
          <w:numId w:val="30"/>
        </w:numPr>
        <w:jc w:val="both"/>
        <w:rPr>
          <w:rFonts w:ascii="Calibri" w:eastAsia="Calibri" w:hAnsi="Calibri" w:cs="Calibri"/>
          <w:sz w:val="20"/>
          <w:szCs w:val="20"/>
          <w:lang w:val="es-ES"/>
        </w:rPr>
      </w:pPr>
      <w:r w:rsidRPr="62C29527">
        <w:rPr>
          <w:rFonts w:ascii="Calibri" w:eastAsia="Calibri" w:hAnsi="Calibri" w:cs="Calibri"/>
          <w:sz w:val="20"/>
          <w:szCs w:val="20"/>
          <w:lang w:val="es-ES"/>
        </w:rPr>
        <w:t>Tensión máxima.</w:t>
      </w:r>
    </w:p>
    <w:p w14:paraId="4A98C19A" w14:textId="21ED013B" w:rsidR="4A6F696A" w:rsidRDefault="4A6F696A" w:rsidP="003408E6">
      <w:pPr>
        <w:pStyle w:val="Sinespaciado"/>
        <w:numPr>
          <w:ilvl w:val="0"/>
          <w:numId w:val="30"/>
        </w:numPr>
        <w:jc w:val="both"/>
        <w:rPr>
          <w:rFonts w:ascii="Calibri" w:eastAsia="Calibri" w:hAnsi="Calibri" w:cs="Calibri"/>
          <w:sz w:val="20"/>
          <w:szCs w:val="20"/>
          <w:lang w:val="es-ES"/>
        </w:rPr>
      </w:pPr>
      <w:r w:rsidRPr="62C29527">
        <w:rPr>
          <w:rFonts w:ascii="Calibri" w:eastAsia="Calibri" w:hAnsi="Calibri" w:cs="Calibri"/>
          <w:sz w:val="20"/>
          <w:szCs w:val="20"/>
          <w:lang w:val="es-ES"/>
        </w:rPr>
        <w:t>Corriente máxima.</w:t>
      </w:r>
    </w:p>
    <w:p w14:paraId="648CBB98" w14:textId="51D4CD3A" w:rsidR="4A6F696A" w:rsidRDefault="4A6F696A" w:rsidP="003408E6">
      <w:pPr>
        <w:pStyle w:val="Sinespaciado"/>
        <w:numPr>
          <w:ilvl w:val="0"/>
          <w:numId w:val="30"/>
        </w:numPr>
        <w:jc w:val="both"/>
        <w:rPr>
          <w:rFonts w:ascii="Calibri" w:eastAsia="Calibri" w:hAnsi="Calibri" w:cs="Calibri"/>
          <w:sz w:val="20"/>
          <w:szCs w:val="20"/>
          <w:lang w:val="es-ES"/>
        </w:rPr>
      </w:pPr>
      <w:r w:rsidRPr="62C29527">
        <w:rPr>
          <w:rFonts w:ascii="Calibri" w:eastAsia="Calibri" w:hAnsi="Calibri" w:cs="Calibri"/>
          <w:sz w:val="20"/>
          <w:szCs w:val="20"/>
          <w:lang w:val="es-ES"/>
        </w:rPr>
        <w:t>Tensión de operación.</w:t>
      </w:r>
    </w:p>
    <w:p w14:paraId="4A44D75C" w14:textId="2DF1ECF6" w:rsidR="4A6F696A" w:rsidRDefault="4A6F696A" w:rsidP="003408E6">
      <w:pPr>
        <w:pStyle w:val="Sinespaciado"/>
        <w:numPr>
          <w:ilvl w:val="0"/>
          <w:numId w:val="30"/>
        </w:numPr>
        <w:jc w:val="both"/>
        <w:rPr>
          <w:rFonts w:ascii="Calibri" w:eastAsia="Calibri" w:hAnsi="Calibri" w:cs="Calibri"/>
          <w:sz w:val="20"/>
          <w:szCs w:val="20"/>
          <w:lang w:val="es-ES"/>
        </w:rPr>
      </w:pPr>
      <w:r w:rsidRPr="62C29527">
        <w:rPr>
          <w:rFonts w:ascii="Calibri" w:eastAsia="Calibri" w:hAnsi="Calibri" w:cs="Calibri"/>
          <w:sz w:val="20"/>
          <w:szCs w:val="20"/>
          <w:lang w:val="es-ES"/>
        </w:rPr>
        <w:t>Corriente de operación.</w:t>
      </w:r>
    </w:p>
    <w:p w14:paraId="53D6CCF0" w14:textId="23694372" w:rsidR="4A6F696A" w:rsidRDefault="4A6F696A" w:rsidP="003408E6">
      <w:pPr>
        <w:pStyle w:val="Sinespaciado"/>
        <w:numPr>
          <w:ilvl w:val="0"/>
          <w:numId w:val="30"/>
        </w:numPr>
        <w:jc w:val="both"/>
        <w:rPr>
          <w:rFonts w:ascii="Calibri" w:eastAsia="Calibri" w:hAnsi="Calibri" w:cs="Calibri"/>
          <w:sz w:val="20"/>
          <w:szCs w:val="20"/>
          <w:lang w:val="es-ES"/>
        </w:rPr>
      </w:pPr>
      <w:r w:rsidRPr="62C29527">
        <w:rPr>
          <w:rFonts w:ascii="Calibri" w:eastAsia="Calibri" w:hAnsi="Calibri" w:cs="Calibri"/>
          <w:sz w:val="20"/>
          <w:szCs w:val="20"/>
          <w:lang w:val="es-ES"/>
        </w:rPr>
        <w:t>Clase de tensión de aislamiento.</w:t>
      </w:r>
    </w:p>
    <w:p w14:paraId="0EE224C1" w14:textId="0BD94A46" w:rsidR="4A6F696A" w:rsidRDefault="4A6F696A" w:rsidP="003408E6">
      <w:pPr>
        <w:pStyle w:val="Sinespaciado"/>
        <w:numPr>
          <w:ilvl w:val="0"/>
          <w:numId w:val="30"/>
        </w:numPr>
        <w:jc w:val="both"/>
        <w:rPr>
          <w:rFonts w:ascii="Calibri" w:eastAsia="Calibri" w:hAnsi="Calibri" w:cs="Calibri"/>
          <w:sz w:val="20"/>
          <w:szCs w:val="20"/>
          <w:lang w:val="es-ES"/>
        </w:rPr>
      </w:pPr>
      <w:r w:rsidRPr="62C29527">
        <w:rPr>
          <w:rFonts w:ascii="Calibri" w:eastAsia="Calibri" w:hAnsi="Calibri" w:cs="Calibri"/>
          <w:sz w:val="20"/>
          <w:szCs w:val="20"/>
          <w:lang w:val="es-ES"/>
        </w:rPr>
        <w:t>Frecuencia de operación.</w:t>
      </w:r>
    </w:p>
    <w:p w14:paraId="0B47AA7D" w14:textId="0BC75262" w:rsidR="4A6F696A" w:rsidRDefault="4A6F696A" w:rsidP="003408E6">
      <w:pPr>
        <w:pStyle w:val="Sinespaciado"/>
        <w:numPr>
          <w:ilvl w:val="0"/>
          <w:numId w:val="30"/>
        </w:numPr>
        <w:jc w:val="both"/>
        <w:rPr>
          <w:rFonts w:ascii="Calibri" w:eastAsia="Calibri" w:hAnsi="Calibri" w:cs="Calibri"/>
          <w:sz w:val="20"/>
          <w:szCs w:val="20"/>
          <w:lang w:val="es-ES"/>
        </w:rPr>
      </w:pPr>
      <w:r w:rsidRPr="62C29527">
        <w:rPr>
          <w:rFonts w:ascii="Calibri" w:eastAsia="Calibri" w:hAnsi="Calibri" w:cs="Calibri"/>
          <w:sz w:val="20"/>
          <w:szCs w:val="20"/>
          <w:lang w:val="es-ES"/>
        </w:rPr>
        <w:t>Capacidad nominal (A, kVA, etc., según corresponda).</w:t>
      </w:r>
    </w:p>
    <w:p w14:paraId="3D075D8F" w14:textId="28871DAD" w:rsidR="4A6F696A" w:rsidRDefault="4A6F696A" w:rsidP="003408E6">
      <w:pPr>
        <w:pStyle w:val="Sinespaciado"/>
        <w:numPr>
          <w:ilvl w:val="0"/>
          <w:numId w:val="30"/>
        </w:numPr>
        <w:jc w:val="both"/>
        <w:rPr>
          <w:rFonts w:ascii="Calibri" w:eastAsia="Calibri" w:hAnsi="Calibri" w:cs="Calibri"/>
          <w:sz w:val="20"/>
          <w:szCs w:val="20"/>
          <w:lang w:val="es-ES"/>
        </w:rPr>
      </w:pPr>
      <w:r w:rsidRPr="62C29527">
        <w:rPr>
          <w:rFonts w:ascii="Calibri" w:eastAsia="Calibri" w:hAnsi="Calibri" w:cs="Calibri"/>
          <w:sz w:val="20"/>
          <w:szCs w:val="20"/>
          <w:lang w:val="es-ES"/>
        </w:rPr>
        <w:t>Manual y/o catálogo de servicio.</w:t>
      </w:r>
    </w:p>
    <w:p w14:paraId="2C99F11F" w14:textId="2F573EF6" w:rsidR="4A6F696A" w:rsidRDefault="4A6F696A" w:rsidP="003408E6">
      <w:pPr>
        <w:pStyle w:val="Sinespaciado"/>
        <w:numPr>
          <w:ilvl w:val="0"/>
          <w:numId w:val="30"/>
        </w:numPr>
        <w:jc w:val="both"/>
        <w:rPr>
          <w:rFonts w:ascii="Calibri" w:eastAsia="Calibri" w:hAnsi="Calibri" w:cs="Calibri"/>
          <w:sz w:val="20"/>
          <w:szCs w:val="20"/>
          <w:lang w:val="es-ES"/>
        </w:rPr>
      </w:pPr>
      <w:r w:rsidRPr="62C29527">
        <w:rPr>
          <w:rFonts w:ascii="Calibri" w:eastAsia="Calibri" w:hAnsi="Calibri" w:cs="Calibri"/>
          <w:sz w:val="20"/>
          <w:szCs w:val="20"/>
          <w:lang w:val="es-ES"/>
        </w:rPr>
        <w:t xml:space="preserve">Otros datos según sea pertinente. </w:t>
      </w:r>
    </w:p>
    <w:p w14:paraId="71972297" w14:textId="7A29E8A9" w:rsidR="3C234025" w:rsidRDefault="4A6F696A" w:rsidP="3C234025">
      <w:pPr>
        <w:pStyle w:val="Sinespaciado"/>
        <w:jc w:val="both"/>
        <w:rPr>
          <w:rFonts w:ascii="Calibri" w:eastAsia="Calibri" w:hAnsi="Calibri" w:cs="Calibri"/>
          <w:sz w:val="20"/>
          <w:szCs w:val="20"/>
          <w:lang w:val="es-ES"/>
        </w:rPr>
      </w:pPr>
      <w:r w:rsidRPr="0BDA33FB">
        <w:rPr>
          <w:rFonts w:ascii="Calibri" w:eastAsia="Calibri" w:hAnsi="Calibri" w:cs="Calibri"/>
          <w:sz w:val="20"/>
          <w:szCs w:val="20"/>
          <w:lang w:val="es-ES"/>
        </w:rPr>
        <w:t xml:space="preserve"> </w:t>
      </w:r>
    </w:p>
    <w:p w14:paraId="029AA6F3" w14:textId="0F758996" w:rsidR="4A6F696A" w:rsidRDefault="4A6F696A" w:rsidP="62C29527">
      <w:pPr>
        <w:pStyle w:val="Sinespaciado"/>
        <w:jc w:val="both"/>
        <w:rPr>
          <w:rFonts w:ascii="Calibri" w:eastAsia="Calibri" w:hAnsi="Calibri" w:cs="Calibri"/>
          <w:sz w:val="20"/>
          <w:szCs w:val="20"/>
          <w:lang w:val="es-ES"/>
        </w:rPr>
      </w:pPr>
      <w:r w:rsidRPr="62C29527">
        <w:rPr>
          <w:rFonts w:ascii="Calibri" w:eastAsia="Calibri" w:hAnsi="Calibri" w:cs="Calibri"/>
          <w:sz w:val="20"/>
          <w:szCs w:val="20"/>
          <w:lang w:val="es-ES"/>
        </w:rPr>
        <w:t>Si es de tipo mecánico:</w:t>
      </w:r>
    </w:p>
    <w:p w14:paraId="17231587" w14:textId="04C427ED" w:rsidR="4A6F696A" w:rsidRDefault="4A6F696A" w:rsidP="62C29527">
      <w:pPr>
        <w:pStyle w:val="Sinespaciado"/>
        <w:jc w:val="both"/>
        <w:rPr>
          <w:rFonts w:ascii="Calibri" w:eastAsia="Calibri" w:hAnsi="Calibri" w:cs="Calibri"/>
          <w:sz w:val="20"/>
          <w:szCs w:val="20"/>
          <w:lang w:val="es-ES"/>
        </w:rPr>
      </w:pPr>
      <w:r w:rsidRPr="62C29527">
        <w:rPr>
          <w:rFonts w:ascii="Calibri" w:eastAsia="Calibri" w:hAnsi="Calibri" w:cs="Calibri"/>
          <w:sz w:val="20"/>
          <w:szCs w:val="20"/>
          <w:lang w:val="es-ES"/>
        </w:rPr>
        <w:t xml:space="preserve"> </w:t>
      </w:r>
    </w:p>
    <w:p w14:paraId="23D04B77" w14:textId="2675F1D7" w:rsidR="4A6F696A" w:rsidRDefault="4A6F696A" w:rsidP="003408E6">
      <w:pPr>
        <w:pStyle w:val="Sinespaciado"/>
        <w:numPr>
          <w:ilvl w:val="0"/>
          <w:numId w:val="29"/>
        </w:numPr>
        <w:jc w:val="both"/>
        <w:rPr>
          <w:rFonts w:ascii="Calibri" w:eastAsia="Calibri" w:hAnsi="Calibri" w:cs="Calibri"/>
          <w:sz w:val="20"/>
          <w:szCs w:val="20"/>
          <w:lang w:val="es-ES"/>
        </w:rPr>
      </w:pPr>
      <w:r w:rsidRPr="62C29527">
        <w:rPr>
          <w:rFonts w:ascii="Calibri" w:eastAsia="Calibri" w:hAnsi="Calibri" w:cs="Calibri"/>
          <w:sz w:val="20"/>
          <w:szCs w:val="20"/>
          <w:lang w:val="es-ES"/>
        </w:rPr>
        <w:t>Marca, tipo, modelo, N.º de serie y año de fabricación.</w:t>
      </w:r>
    </w:p>
    <w:p w14:paraId="09840637" w14:textId="1E1ED25C" w:rsidR="4A6F696A" w:rsidRDefault="4A6F696A" w:rsidP="003408E6">
      <w:pPr>
        <w:pStyle w:val="Sinespaciado"/>
        <w:numPr>
          <w:ilvl w:val="0"/>
          <w:numId w:val="29"/>
        </w:numPr>
        <w:jc w:val="both"/>
        <w:rPr>
          <w:rFonts w:ascii="Calibri" w:eastAsia="Calibri" w:hAnsi="Calibri" w:cs="Calibri"/>
          <w:sz w:val="20"/>
          <w:szCs w:val="20"/>
          <w:lang w:val="es-ES"/>
        </w:rPr>
      </w:pPr>
      <w:r w:rsidRPr="62C29527">
        <w:rPr>
          <w:rFonts w:ascii="Calibri" w:eastAsia="Calibri" w:hAnsi="Calibri" w:cs="Calibri"/>
          <w:sz w:val="20"/>
          <w:szCs w:val="20"/>
          <w:lang w:val="es-ES"/>
        </w:rPr>
        <w:t>Manual y/o catálogo de servicio.</w:t>
      </w:r>
    </w:p>
    <w:p w14:paraId="1157CD9E" w14:textId="3E19227E" w:rsidR="4A6F696A" w:rsidRDefault="4A6F696A" w:rsidP="003408E6">
      <w:pPr>
        <w:pStyle w:val="Sinespaciado"/>
        <w:numPr>
          <w:ilvl w:val="0"/>
          <w:numId w:val="29"/>
        </w:numPr>
        <w:jc w:val="both"/>
        <w:rPr>
          <w:rFonts w:ascii="Calibri" w:eastAsia="Calibri" w:hAnsi="Calibri" w:cs="Calibri"/>
          <w:sz w:val="20"/>
          <w:szCs w:val="20"/>
          <w:lang w:val="es-ES"/>
        </w:rPr>
      </w:pPr>
      <w:r w:rsidRPr="62C29527">
        <w:rPr>
          <w:rFonts w:ascii="Calibri" w:eastAsia="Calibri" w:hAnsi="Calibri" w:cs="Calibri"/>
          <w:sz w:val="20"/>
          <w:szCs w:val="20"/>
          <w:lang w:val="es-ES"/>
        </w:rPr>
        <w:t>Otros datos según sea pertinente.</w:t>
      </w:r>
    </w:p>
    <w:p w14:paraId="0B26F3DB" w14:textId="45226CE2"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2CD86F3B" w14:textId="1662C117"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El alambrado o cableado interno de los equipos y componentes, así como los cables de interconexión, deberán identificarse en ambos extremos, indicando el punto de conexión en la bornera o terminal del equipo o componente y el nombre del dispositivo y número de borne del extremo opuesto del conductor.</w:t>
      </w:r>
    </w:p>
    <w:p w14:paraId="33B9BB0A" w14:textId="7A2C882F"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46D339D" w14:textId="50ED97FF" w:rsidR="4A6F696A" w:rsidRDefault="4A6F696A" w:rsidP="62C29527">
      <w:pPr>
        <w:jc w:val="both"/>
        <w:rPr>
          <w:rFonts w:ascii="Calibri" w:eastAsia="Calibri" w:hAnsi="Calibri" w:cs="Calibri"/>
          <w:sz w:val="20"/>
          <w:szCs w:val="20"/>
          <w:lang w:val="es"/>
        </w:rPr>
      </w:pPr>
      <w:r w:rsidRPr="38A25E75">
        <w:rPr>
          <w:rFonts w:ascii="Calibri" w:eastAsia="Calibri" w:hAnsi="Calibri" w:cs="Calibri"/>
          <w:sz w:val="20"/>
          <w:szCs w:val="20"/>
          <w:lang w:val="es"/>
        </w:rPr>
        <w:t>La señalización de seguridad debe incluir placas indicativas de Riesgo Eléctrico las cuales deben tener una flecha negra en forma de rayo sobre fondo amarillo y todas las advertencias de peligro deben estar en letras negras, de conformidad con el artículo 1.3.3. Señalización de seguridad del RETIE o aquel que resulte aplicable para el momento de ejecución de</w:t>
      </w:r>
      <w:r w:rsidR="3047EAF1" w:rsidRPr="38A25E75">
        <w:rPr>
          <w:rFonts w:ascii="Calibri" w:eastAsia="Calibri" w:hAnsi="Calibri" w:cs="Calibri"/>
          <w:sz w:val="20"/>
          <w:szCs w:val="20"/>
          <w:lang w:val="es"/>
        </w:rPr>
        <w:t xml:space="preserve"> la iniciativa</w:t>
      </w:r>
      <w:r w:rsidRPr="38A25E75">
        <w:rPr>
          <w:rFonts w:ascii="Calibri" w:eastAsia="Calibri" w:hAnsi="Calibri" w:cs="Calibri"/>
          <w:sz w:val="20"/>
          <w:szCs w:val="20"/>
          <w:lang w:val="es"/>
        </w:rPr>
        <w:t>.</w:t>
      </w:r>
    </w:p>
    <w:p w14:paraId="047E3672" w14:textId="513880E8"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614BAB34" w14:textId="026FFCE5" w:rsidR="4A6F696A" w:rsidRDefault="4A6F696A" w:rsidP="62C29527">
      <w:pPr>
        <w:jc w:val="both"/>
        <w:rPr>
          <w:rFonts w:ascii="Calibri" w:eastAsia="Calibri" w:hAnsi="Calibri" w:cs="Calibri"/>
          <w:sz w:val="20"/>
          <w:szCs w:val="20"/>
          <w:lang w:val="es"/>
        </w:rPr>
      </w:pPr>
      <w:r w:rsidRPr="62C29527">
        <w:rPr>
          <w:rFonts w:ascii="Calibri" w:eastAsia="Calibri" w:hAnsi="Calibri" w:cs="Calibri"/>
          <w:b/>
          <w:bCs/>
          <w:sz w:val="20"/>
          <w:szCs w:val="20"/>
          <w:lang w:val="es"/>
        </w:rPr>
        <w:t xml:space="preserve">Módulos fotovoltaicos: </w:t>
      </w:r>
      <w:r w:rsidRPr="62C29527">
        <w:rPr>
          <w:rFonts w:ascii="Calibri" w:eastAsia="Calibri" w:hAnsi="Calibri" w:cs="Calibri"/>
          <w:sz w:val="20"/>
          <w:szCs w:val="20"/>
          <w:lang w:val="es"/>
        </w:rPr>
        <w:t>Su ubicación, orientación e inclinación se deberá realizar de acuerdo con el diseño aprobado por la supervisión y/o interventoría del contrato. En cualquier caso, se debe minimizar que el arreglo de módulos fotovoltaicos reciba sombras que afecten su funcionamiento.</w:t>
      </w:r>
    </w:p>
    <w:p w14:paraId="65F59BD8" w14:textId="427B6B92" w:rsidR="4A6F696A" w:rsidRDefault="4A6F696A" w:rsidP="62C29527">
      <w:pPr>
        <w:pStyle w:val="Sinespaciado"/>
        <w:ind w:left="360"/>
        <w:jc w:val="both"/>
        <w:rPr>
          <w:rFonts w:ascii="Calibri" w:eastAsia="Calibri" w:hAnsi="Calibri" w:cs="Calibri"/>
          <w:sz w:val="20"/>
          <w:szCs w:val="20"/>
          <w:lang w:val="es-ES"/>
        </w:rPr>
      </w:pPr>
      <w:r w:rsidRPr="62C29527">
        <w:rPr>
          <w:rFonts w:ascii="Calibri" w:eastAsia="Calibri" w:hAnsi="Calibri" w:cs="Calibri"/>
          <w:sz w:val="20"/>
          <w:szCs w:val="20"/>
          <w:lang w:val="es-ES"/>
        </w:rPr>
        <w:t xml:space="preserve"> </w:t>
      </w:r>
    </w:p>
    <w:p w14:paraId="3A15B8E7" w14:textId="62568FA7" w:rsidR="4A6F696A" w:rsidRDefault="4A6F696A" w:rsidP="003408E6">
      <w:pPr>
        <w:pStyle w:val="Sinespaciado"/>
        <w:numPr>
          <w:ilvl w:val="0"/>
          <w:numId w:val="28"/>
        </w:numPr>
        <w:jc w:val="both"/>
        <w:rPr>
          <w:rFonts w:ascii="Calibri" w:eastAsia="Calibri" w:hAnsi="Calibri" w:cs="Calibri"/>
          <w:sz w:val="20"/>
          <w:szCs w:val="20"/>
          <w:lang w:val="es-ES"/>
        </w:rPr>
      </w:pPr>
      <w:r w:rsidRPr="62C29527">
        <w:rPr>
          <w:rFonts w:ascii="Calibri" w:eastAsia="Calibri" w:hAnsi="Calibri" w:cs="Calibri"/>
          <w:sz w:val="20"/>
          <w:szCs w:val="20"/>
          <w:lang w:val="es-ES"/>
        </w:rPr>
        <w:t>El panel solar se instalará y almacenará de conformidad con las normas nacionales, internacionales y los requisitos del fabricante.</w:t>
      </w:r>
    </w:p>
    <w:p w14:paraId="7E2CBD99" w14:textId="640AF00E" w:rsidR="4A6F696A" w:rsidRDefault="4A6F696A" w:rsidP="003408E6">
      <w:pPr>
        <w:pStyle w:val="Sinespaciado"/>
        <w:numPr>
          <w:ilvl w:val="0"/>
          <w:numId w:val="28"/>
        </w:numPr>
        <w:jc w:val="both"/>
        <w:rPr>
          <w:rFonts w:ascii="Calibri" w:eastAsia="Calibri" w:hAnsi="Calibri" w:cs="Calibri"/>
          <w:sz w:val="20"/>
          <w:szCs w:val="20"/>
          <w:lang w:val="es-ES"/>
        </w:rPr>
      </w:pPr>
      <w:r w:rsidRPr="62C29527">
        <w:rPr>
          <w:rFonts w:ascii="Calibri" w:eastAsia="Calibri" w:hAnsi="Calibri" w:cs="Calibri"/>
          <w:sz w:val="20"/>
          <w:szCs w:val="20"/>
          <w:lang w:val="es-ES"/>
        </w:rPr>
        <w:t>Todos los módulos deberán tener su respectivo número de serie de identificación único, (según norma IEC 61215), y se debe identificar el nombre o logotipo del fabricante.</w:t>
      </w:r>
    </w:p>
    <w:p w14:paraId="5F7AF907" w14:textId="7A8A1013" w:rsidR="4A6F696A" w:rsidRDefault="4A6F696A" w:rsidP="003408E6">
      <w:pPr>
        <w:pStyle w:val="Sinespaciado"/>
        <w:numPr>
          <w:ilvl w:val="0"/>
          <w:numId w:val="28"/>
        </w:numPr>
        <w:jc w:val="both"/>
        <w:rPr>
          <w:rFonts w:ascii="Calibri" w:eastAsia="Calibri" w:hAnsi="Calibri" w:cs="Calibri"/>
          <w:sz w:val="20"/>
          <w:szCs w:val="20"/>
          <w:lang w:val="es-ES"/>
        </w:rPr>
      </w:pPr>
      <w:r w:rsidRPr="62C29527">
        <w:rPr>
          <w:rFonts w:ascii="Calibri" w:eastAsia="Calibri" w:hAnsi="Calibri" w:cs="Calibri"/>
          <w:sz w:val="20"/>
          <w:szCs w:val="20"/>
          <w:lang w:val="es-ES"/>
        </w:rPr>
        <w:t>Los módulos deben resistir condiciones meteorológicas adversas (resistente a altas cargas mecánicas correspondientes a vientos huracanados, impacto de granizo y atmosfera corrosiva con alta salinidad y humedad IEC61701).</w:t>
      </w:r>
    </w:p>
    <w:p w14:paraId="28AB2CFE" w14:textId="4498AA68" w:rsidR="4A6F696A" w:rsidRDefault="4A6F696A" w:rsidP="003408E6">
      <w:pPr>
        <w:pStyle w:val="Sinespaciado"/>
        <w:numPr>
          <w:ilvl w:val="0"/>
          <w:numId w:val="28"/>
        </w:numPr>
        <w:jc w:val="both"/>
        <w:rPr>
          <w:rFonts w:ascii="Calibri" w:eastAsia="Calibri" w:hAnsi="Calibri" w:cs="Calibri"/>
          <w:sz w:val="20"/>
          <w:szCs w:val="20"/>
          <w:lang w:val="es-ES"/>
        </w:rPr>
      </w:pPr>
      <w:r w:rsidRPr="62C29527">
        <w:rPr>
          <w:rFonts w:ascii="Calibri" w:eastAsia="Calibri" w:hAnsi="Calibri" w:cs="Calibri"/>
          <w:sz w:val="20"/>
          <w:szCs w:val="20"/>
          <w:lang w:val="es-ES"/>
        </w:rPr>
        <w:t>Los módulos solares estarán certificados de acuerdo con las exigencias nacionales del emplazamiento e internacionales vigentes; deben haber superado, coma mínima, satisfactoriamente las ensayos y certificados que se incluyen en las siguientes certificaciones y las indicadas en el apartado de normas del presente documento:</w:t>
      </w:r>
    </w:p>
    <w:p w14:paraId="5509B32D" w14:textId="1A888C2C" w:rsidR="4A6F696A" w:rsidRDefault="4A6F696A" w:rsidP="003408E6">
      <w:pPr>
        <w:pStyle w:val="Sinespaciado"/>
        <w:numPr>
          <w:ilvl w:val="1"/>
          <w:numId w:val="28"/>
        </w:numPr>
        <w:jc w:val="both"/>
        <w:rPr>
          <w:rFonts w:ascii="Calibri" w:eastAsia="Calibri" w:hAnsi="Calibri" w:cs="Calibri"/>
          <w:sz w:val="20"/>
          <w:szCs w:val="20"/>
          <w:lang w:val="es-ES"/>
        </w:rPr>
      </w:pPr>
      <w:r w:rsidRPr="62C29527">
        <w:rPr>
          <w:rFonts w:ascii="Calibri" w:eastAsia="Calibri" w:hAnsi="Calibri" w:cs="Calibri"/>
          <w:sz w:val="20"/>
          <w:szCs w:val="20"/>
          <w:lang w:val="es-ES"/>
        </w:rPr>
        <w:t>IEC 61730 (cualificación de la seguridad de los módulos fotovoltaicos (FV). Parte 1: Requisitos de construcción. Parte 2: Requisitos para ensayos).</w:t>
      </w:r>
    </w:p>
    <w:p w14:paraId="0B35AEDE" w14:textId="3BFA3598" w:rsidR="4A6F696A" w:rsidRDefault="4A6F696A" w:rsidP="003408E6">
      <w:pPr>
        <w:pStyle w:val="Sinespaciado"/>
        <w:numPr>
          <w:ilvl w:val="1"/>
          <w:numId w:val="28"/>
        </w:numPr>
        <w:jc w:val="both"/>
        <w:rPr>
          <w:rFonts w:ascii="Calibri" w:eastAsia="Calibri" w:hAnsi="Calibri" w:cs="Calibri"/>
          <w:sz w:val="20"/>
          <w:szCs w:val="20"/>
          <w:lang w:val="es-ES"/>
        </w:rPr>
      </w:pPr>
      <w:r w:rsidRPr="62C29527">
        <w:rPr>
          <w:rFonts w:ascii="Calibri" w:eastAsia="Calibri" w:hAnsi="Calibri" w:cs="Calibri"/>
          <w:sz w:val="20"/>
          <w:szCs w:val="20"/>
          <w:lang w:val="es-ES"/>
        </w:rPr>
        <w:t>IEC 61701 (Ensayo de corrosión por niebla salina de módulos fotovoltaicos) IEC 60068 (Ensayos ambientales. Parte 2: Ensayos. Ensayo L: Polvo y arena).</w:t>
      </w:r>
    </w:p>
    <w:p w14:paraId="5068D171" w14:textId="7F594453" w:rsidR="4A6F696A" w:rsidRDefault="4A6F696A" w:rsidP="003408E6">
      <w:pPr>
        <w:pStyle w:val="Sinespaciado"/>
        <w:numPr>
          <w:ilvl w:val="0"/>
          <w:numId w:val="28"/>
        </w:numPr>
        <w:jc w:val="both"/>
        <w:rPr>
          <w:rFonts w:ascii="Calibri" w:eastAsia="Calibri" w:hAnsi="Calibri" w:cs="Calibri"/>
          <w:sz w:val="20"/>
          <w:szCs w:val="20"/>
          <w:lang w:val="es-ES"/>
        </w:rPr>
      </w:pPr>
      <w:r w:rsidRPr="62C29527">
        <w:rPr>
          <w:rFonts w:ascii="Calibri" w:eastAsia="Calibri" w:hAnsi="Calibri" w:cs="Calibri"/>
          <w:sz w:val="20"/>
          <w:szCs w:val="20"/>
          <w:lang w:val="es-ES"/>
        </w:rPr>
        <w:t>La instalación de los módulos se llevará a cabo de acuerdo con el manual de instalación de fabricantes con el objetivo de conservar la garantía.</w:t>
      </w:r>
    </w:p>
    <w:p w14:paraId="78A24758" w14:textId="4C38829C" w:rsidR="4A6F696A" w:rsidRDefault="4A6F696A" w:rsidP="003408E6">
      <w:pPr>
        <w:pStyle w:val="Sinespaciado"/>
        <w:numPr>
          <w:ilvl w:val="0"/>
          <w:numId w:val="28"/>
        </w:numPr>
        <w:jc w:val="both"/>
        <w:rPr>
          <w:rFonts w:ascii="Calibri" w:eastAsia="Calibri" w:hAnsi="Calibri" w:cs="Calibri"/>
          <w:sz w:val="20"/>
          <w:szCs w:val="20"/>
          <w:lang w:val="es-ES"/>
        </w:rPr>
      </w:pPr>
      <w:r w:rsidRPr="62C29527">
        <w:rPr>
          <w:rFonts w:ascii="Calibri" w:eastAsia="Calibri" w:hAnsi="Calibri" w:cs="Calibri"/>
          <w:sz w:val="20"/>
          <w:szCs w:val="20"/>
          <w:lang w:val="es-ES"/>
        </w:rPr>
        <w:t xml:space="preserve">Los módulos solares deberán tener la potencia definida en el diseño de cada sistema aprobado por la </w:t>
      </w:r>
      <w:r>
        <w:br/>
      </w:r>
      <w:r w:rsidRPr="62C29527">
        <w:rPr>
          <w:rFonts w:ascii="Calibri" w:eastAsia="Calibri" w:hAnsi="Calibri" w:cs="Calibri"/>
          <w:sz w:val="20"/>
          <w:szCs w:val="20"/>
          <w:lang w:val="es-ES"/>
        </w:rPr>
        <w:t>supervisión y/o interventoría del contrato.</w:t>
      </w:r>
    </w:p>
    <w:p w14:paraId="63B6C76C" w14:textId="37B377E4" w:rsidR="4A6F696A" w:rsidRDefault="4A6F696A" w:rsidP="003408E6">
      <w:pPr>
        <w:pStyle w:val="Sinespaciado"/>
        <w:numPr>
          <w:ilvl w:val="0"/>
          <w:numId w:val="28"/>
        </w:numPr>
        <w:jc w:val="both"/>
        <w:rPr>
          <w:rFonts w:ascii="Calibri" w:eastAsia="Calibri" w:hAnsi="Calibri" w:cs="Calibri"/>
          <w:sz w:val="20"/>
          <w:szCs w:val="20"/>
          <w:lang w:val="es-ES"/>
        </w:rPr>
      </w:pPr>
      <w:r w:rsidRPr="62C29527">
        <w:rPr>
          <w:rFonts w:ascii="Calibri" w:eastAsia="Calibri" w:hAnsi="Calibri" w:cs="Calibri"/>
          <w:sz w:val="20"/>
          <w:szCs w:val="20"/>
          <w:lang w:val="es-ES"/>
        </w:rPr>
        <w:t>La garantía de producción de energía a 12 años mínima al 90 % y mínima al 80 % a 25 años.</w:t>
      </w:r>
    </w:p>
    <w:p w14:paraId="64E58A5F" w14:textId="7B7C3A04" w:rsidR="4A6F696A" w:rsidRDefault="4A6F696A" w:rsidP="003408E6">
      <w:pPr>
        <w:pStyle w:val="Sinespaciado"/>
        <w:numPr>
          <w:ilvl w:val="0"/>
          <w:numId w:val="28"/>
        </w:numPr>
        <w:jc w:val="both"/>
        <w:rPr>
          <w:rFonts w:ascii="Calibri" w:eastAsia="Calibri" w:hAnsi="Calibri" w:cs="Calibri"/>
          <w:sz w:val="20"/>
          <w:szCs w:val="20"/>
          <w:lang w:val="es-ES"/>
        </w:rPr>
      </w:pPr>
      <w:r w:rsidRPr="62C29527">
        <w:rPr>
          <w:rFonts w:ascii="Calibri" w:eastAsia="Calibri" w:hAnsi="Calibri" w:cs="Calibri"/>
          <w:sz w:val="20"/>
          <w:szCs w:val="20"/>
          <w:lang w:val="es-ES"/>
        </w:rPr>
        <w:t>La eficiencia mínima del 20 %.</w:t>
      </w:r>
    </w:p>
    <w:p w14:paraId="6CAB44D8" w14:textId="38D295B8" w:rsidR="4A6F696A" w:rsidRDefault="4A6F696A" w:rsidP="003408E6">
      <w:pPr>
        <w:pStyle w:val="Sinespaciado"/>
        <w:numPr>
          <w:ilvl w:val="0"/>
          <w:numId w:val="28"/>
        </w:numPr>
        <w:jc w:val="both"/>
        <w:rPr>
          <w:rFonts w:ascii="Calibri" w:eastAsia="Calibri" w:hAnsi="Calibri" w:cs="Calibri"/>
          <w:sz w:val="20"/>
          <w:szCs w:val="20"/>
          <w:lang w:val="es-ES"/>
        </w:rPr>
      </w:pPr>
      <w:r w:rsidRPr="62C29527">
        <w:rPr>
          <w:rFonts w:ascii="Calibri" w:eastAsia="Calibri" w:hAnsi="Calibri" w:cs="Calibri"/>
          <w:sz w:val="20"/>
          <w:szCs w:val="20"/>
          <w:lang w:val="es-ES"/>
        </w:rPr>
        <w:t>Temperatura de operación -40°C - +85°C.</w:t>
      </w:r>
    </w:p>
    <w:p w14:paraId="23710FF0" w14:textId="3AB1E0F8" w:rsidR="4A6F696A" w:rsidRDefault="4A6F696A" w:rsidP="003408E6">
      <w:pPr>
        <w:pStyle w:val="Sinespaciado"/>
        <w:numPr>
          <w:ilvl w:val="0"/>
          <w:numId w:val="28"/>
        </w:numPr>
        <w:jc w:val="both"/>
        <w:rPr>
          <w:rFonts w:ascii="Calibri" w:eastAsia="Calibri" w:hAnsi="Calibri" w:cs="Calibri"/>
          <w:sz w:val="20"/>
          <w:szCs w:val="20"/>
          <w:lang w:val="es-ES"/>
        </w:rPr>
      </w:pPr>
      <w:r w:rsidRPr="62C29527">
        <w:rPr>
          <w:rFonts w:ascii="Calibri" w:eastAsia="Calibri" w:hAnsi="Calibri" w:cs="Calibri"/>
          <w:sz w:val="20"/>
          <w:szCs w:val="20"/>
          <w:lang w:val="es-ES"/>
        </w:rPr>
        <w:t>Normatividad de mínimo cumplimiento: Certificado de conformidad de producto RETIE, IEC 61215, IEC61701, IEC 61730-1, IEC 61730-2 y UL 1703.</w:t>
      </w:r>
    </w:p>
    <w:p w14:paraId="1755BFAF" w14:textId="67ED01D3"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ACFC376" w14:textId="421144D4" w:rsidR="4A6F696A" w:rsidRDefault="4A6F696A" w:rsidP="62C29527">
      <w:pPr>
        <w:jc w:val="both"/>
        <w:rPr>
          <w:rFonts w:ascii="Calibri" w:eastAsia="Calibri" w:hAnsi="Calibri" w:cs="Calibri"/>
          <w:sz w:val="20"/>
          <w:szCs w:val="20"/>
          <w:lang w:val="es"/>
        </w:rPr>
      </w:pPr>
      <w:r w:rsidRPr="62C29527">
        <w:rPr>
          <w:rFonts w:ascii="Calibri" w:eastAsia="Calibri" w:hAnsi="Calibri" w:cs="Calibri"/>
          <w:b/>
          <w:bCs/>
          <w:sz w:val="20"/>
          <w:szCs w:val="20"/>
          <w:lang w:val="es"/>
        </w:rPr>
        <w:t xml:space="preserve">Inversores para SSFV: </w:t>
      </w:r>
      <w:r w:rsidRPr="62C29527">
        <w:rPr>
          <w:rFonts w:ascii="Calibri" w:eastAsia="Calibri" w:hAnsi="Calibri" w:cs="Calibri"/>
          <w:sz w:val="20"/>
          <w:szCs w:val="20"/>
          <w:lang w:val="es"/>
        </w:rPr>
        <w:t>Los inversores se deberán ubicar en un lugar adecuado, siguiendo las recomendaciones del fabricante, asegurándolo de tal forma que no se generen vibraciones mecánicas durante su operación. Los inversores estarán certificados según las exigencias nacionales del emplazamiento e internacionales vigentes; deben haber superado satisfactoriamente, como mínimo, las de ensayos y certificados que se incluyen en el siguiente listado, al igual que las indicadas en el apartado de normas del presente documento:</w:t>
      </w:r>
    </w:p>
    <w:p w14:paraId="2070A576" w14:textId="56E20F4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DDAE142" w14:textId="2FDD538B" w:rsidR="4A6F696A" w:rsidRDefault="4A6F696A" w:rsidP="003408E6">
      <w:pPr>
        <w:pStyle w:val="Sinespaciado"/>
        <w:numPr>
          <w:ilvl w:val="0"/>
          <w:numId w:val="27"/>
        </w:numPr>
        <w:ind w:left="714" w:hanging="357"/>
        <w:jc w:val="both"/>
        <w:rPr>
          <w:rFonts w:ascii="Calibri" w:eastAsia="Calibri" w:hAnsi="Calibri" w:cs="Calibri"/>
          <w:sz w:val="20"/>
          <w:szCs w:val="20"/>
          <w:lang w:val="es-ES"/>
        </w:rPr>
      </w:pPr>
      <w:r w:rsidRPr="62C29527">
        <w:rPr>
          <w:rFonts w:ascii="Calibri" w:eastAsia="Calibri" w:hAnsi="Calibri" w:cs="Calibri"/>
          <w:sz w:val="20"/>
          <w:szCs w:val="20"/>
          <w:lang w:val="es-ES"/>
        </w:rPr>
        <w:t>IEC 62109-1 y 62109-2 (Seguridad de los convertidores de potencia utilizados en sistemas de potencia fotovoltaicos).</w:t>
      </w:r>
    </w:p>
    <w:p w14:paraId="72698BD9" w14:textId="1E798C4E" w:rsidR="4A6F696A" w:rsidRDefault="4A6F696A" w:rsidP="003408E6">
      <w:pPr>
        <w:pStyle w:val="Sinespaciado"/>
        <w:numPr>
          <w:ilvl w:val="0"/>
          <w:numId w:val="27"/>
        </w:numPr>
        <w:ind w:left="714" w:hanging="357"/>
        <w:jc w:val="both"/>
        <w:rPr>
          <w:rFonts w:ascii="Calibri" w:eastAsia="Calibri" w:hAnsi="Calibri" w:cs="Calibri"/>
          <w:sz w:val="20"/>
          <w:szCs w:val="20"/>
          <w:lang w:val="es-ES"/>
        </w:rPr>
      </w:pPr>
      <w:r w:rsidRPr="62C29527">
        <w:rPr>
          <w:rFonts w:ascii="Calibri" w:eastAsia="Calibri" w:hAnsi="Calibri" w:cs="Calibri"/>
          <w:sz w:val="20"/>
          <w:szCs w:val="20"/>
          <w:lang w:val="es-ES"/>
        </w:rPr>
        <w:t>UL 1741 (Requisitos de seguridad para garantizar que los inversores funcionen de manera segura y confiable cuando se conectan a la red eléctrica).</w:t>
      </w:r>
    </w:p>
    <w:p w14:paraId="24BB83FB" w14:textId="6E7DC324" w:rsidR="4A6F696A" w:rsidRDefault="4A6F696A" w:rsidP="003408E6">
      <w:pPr>
        <w:pStyle w:val="Sinespaciado"/>
        <w:numPr>
          <w:ilvl w:val="0"/>
          <w:numId w:val="27"/>
        </w:numPr>
        <w:ind w:left="714" w:hanging="357"/>
        <w:jc w:val="both"/>
        <w:rPr>
          <w:rFonts w:ascii="Calibri" w:eastAsia="Calibri" w:hAnsi="Calibri" w:cs="Calibri"/>
          <w:sz w:val="20"/>
          <w:szCs w:val="20"/>
          <w:lang w:val="es-ES"/>
        </w:rPr>
      </w:pPr>
      <w:r w:rsidRPr="62C29527">
        <w:rPr>
          <w:rFonts w:ascii="Calibri" w:eastAsia="Calibri" w:hAnsi="Calibri" w:cs="Calibri"/>
          <w:sz w:val="20"/>
          <w:szCs w:val="20"/>
          <w:lang w:val="es-ES"/>
        </w:rPr>
        <w:t>IEC 62103 (Equipos electrónicos para emplear en instalaciones de potencia).</w:t>
      </w:r>
    </w:p>
    <w:p w14:paraId="5A025DED" w14:textId="013E35E4" w:rsidR="4A6F696A" w:rsidRDefault="4A6F696A" w:rsidP="003408E6">
      <w:pPr>
        <w:pStyle w:val="Sinespaciado"/>
        <w:numPr>
          <w:ilvl w:val="0"/>
          <w:numId w:val="27"/>
        </w:numPr>
        <w:ind w:left="714" w:hanging="357"/>
        <w:jc w:val="both"/>
        <w:rPr>
          <w:rFonts w:ascii="Calibri" w:eastAsia="Calibri" w:hAnsi="Calibri" w:cs="Calibri"/>
          <w:sz w:val="20"/>
          <w:szCs w:val="20"/>
          <w:lang w:val="es-ES"/>
        </w:rPr>
      </w:pPr>
      <w:r w:rsidRPr="62C29527">
        <w:rPr>
          <w:rFonts w:ascii="Calibri" w:eastAsia="Calibri" w:hAnsi="Calibri" w:cs="Calibri"/>
          <w:sz w:val="20"/>
          <w:szCs w:val="20"/>
          <w:lang w:val="es-ES"/>
        </w:rPr>
        <w:t>IEC 62116 (inversores fotovoltaicos conectados a la red de las compañías eléctricas. Procedimiento de ensayo para las medidas de prevención de formación de islas en la red).</w:t>
      </w:r>
    </w:p>
    <w:p w14:paraId="541684AC" w14:textId="1F7BCC55" w:rsidR="4A6F696A" w:rsidRDefault="4A6F696A" w:rsidP="003408E6">
      <w:pPr>
        <w:pStyle w:val="Sinespaciado"/>
        <w:numPr>
          <w:ilvl w:val="0"/>
          <w:numId w:val="27"/>
        </w:numPr>
        <w:ind w:left="714" w:hanging="357"/>
        <w:jc w:val="both"/>
        <w:rPr>
          <w:rFonts w:ascii="Calibri" w:eastAsia="Calibri" w:hAnsi="Calibri" w:cs="Calibri"/>
          <w:sz w:val="20"/>
          <w:szCs w:val="20"/>
          <w:lang w:val="es-ES"/>
        </w:rPr>
      </w:pPr>
      <w:r w:rsidRPr="62C29527">
        <w:rPr>
          <w:rFonts w:ascii="Calibri" w:eastAsia="Calibri" w:hAnsi="Calibri" w:cs="Calibri"/>
          <w:sz w:val="20"/>
          <w:szCs w:val="20"/>
          <w:lang w:val="es-ES"/>
        </w:rPr>
        <w:t>IEC 61683 (Sistemas fotovoltaicos. Acondicionadores de potencia. Procedimiento para la medida del rendimiento) Marcado CE o similar para Latinoamérica.</w:t>
      </w:r>
    </w:p>
    <w:p w14:paraId="75D311CA" w14:textId="041B886C" w:rsidR="4A6F696A" w:rsidRDefault="4A6F696A" w:rsidP="003408E6">
      <w:pPr>
        <w:pStyle w:val="Sinespaciado"/>
        <w:numPr>
          <w:ilvl w:val="0"/>
          <w:numId w:val="27"/>
        </w:numPr>
        <w:ind w:left="714" w:hanging="357"/>
        <w:jc w:val="both"/>
        <w:rPr>
          <w:rFonts w:ascii="Calibri" w:eastAsia="Calibri" w:hAnsi="Calibri" w:cs="Calibri"/>
          <w:sz w:val="20"/>
          <w:szCs w:val="20"/>
          <w:lang w:val="es-ES"/>
        </w:rPr>
      </w:pPr>
      <w:r w:rsidRPr="62C29527">
        <w:rPr>
          <w:rFonts w:ascii="Calibri" w:eastAsia="Calibri" w:hAnsi="Calibri" w:cs="Calibri"/>
          <w:sz w:val="20"/>
          <w:szCs w:val="20"/>
          <w:lang w:val="es-ES"/>
        </w:rPr>
        <w:t>Certificado de conformidad de producto RETIE.</w:t>
      </w:r>
    </w:p>
    <w:p w14:paraId="73855525" w14:textId="1DDE9262"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DBE4089" w14:textId="254C19DC" w:rsidR="4A6F696A" w:rsidRDefault="4A6F696A" w:rsidP="62C29527">
      <w:pPr>
        <w:jc w:val="both"/>
        <w:rPr>
          <w:rFonts w:ascii="Calibri" w:eastAsia="Calibri" w:hAnsi="Calibri" w:cs="Calibri"/>
          <w:sz w:val="20"/>
          <w:szCs w:val="20"/>
          <w:lang w:val="es"/>
        </w:rPr>
      </w:pPr>
      <w:r w:rsidRPr="62C29527">
        <w:rPr>
          <w:rFonts w:ascii="Calibri" w:eastAsia="Calibri" w:hAnsi="Calibri" w:cs="Calibri"/>
          <w:b/>
          <w:bCs/>
          <w:sz w:val="20"/>
          <w:szCs w:val="20"/>
          <w:lang w:val="es"/>
        </w:rPr>
        <w:t xml:space="preserve">Estructura soporte para SSFV en cubierta: </w:t>
      </w:r>
      <w:r w:rsidRPr="62C29527">
        <w:rPr>
          <w:rFonts w:ascii="Calibri" w:eastAsia="Calibri" w:hAnsi="Calibri" w:cs="Calibri"/>
          <w:sz w:val="20"/>
          <w:szCs w:val="20"/>
          <w:lang w:val="es"/>
        </w:rPr>
        <w:t>Durante las actividades de factibilidad el Contratista deberá determinar la ubicación óptima de las estructuras que soportarán los módulos solares fotovoltaicos sobre cubierta, dependiendo de las condiciones específicas de cada sitio propuesto, de las características estructurales de la edificación y de las condiciones del diseño del SSFV.  La estructura deberá contar con las dimensiones y características adecuadas según el peso de los módulos y los esfuerzos dinámicos del viento que va a soportar, garantizando la estabilidad y seguridad del sistema. Se debe considerar la orientación e inclinación que optimice la radiación recibida y que se garantice una adecuada disipación del calor producto de la radiación solar.</w:t>
      </w:r>
    </w:p>
    <w:p w14:paraId="004FC3D8" w14:textId="06243A57"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25D69EEB" w14:textId="0855098E" w:rsidR="4A6F696A" w:rsidRDefault="4A6F696A" w:rsidP="62C29527">
      <w:pPr>
        <w:jc w:val="both"/>
        <w:rPr>
          <w:rFonts w:ascii="Calibri" w:eastAsia="Calibri" w:hAnsi="Calibri" w:cs="Calibri"/>
          <w:sz w:val="20"/>
          <w:szCs w:val="20"/>
          <w:lang w:val="es"/>
        </w:rPr>
      </w:pPr>
      <w:r w:rsidRPr="62C29527">
        <w:rPr>
          <w:rFonts w:ascii="Calibri" w:eastAsia="Calibri" w:hAnsi="Calibri" w:cs="Calibri"/>
          <w:b/>
          <w:bCs/>
          <w:sz w:val="20"/>
          <w:szCs w:val="20"/>
          <w:lang w:val="es"/>
        </w:rPr>
        <w:t>Material:</w:t>
      </w:r>
      <w:r w:rsidRPr="62C29527">
        <w:rPr>
          <w:rFonts w:ascii="Calibri" w:eastAsia="Calibri" w:hAnsi="Calibri" w:cs="Calibri"/>
          <w:sz w:val="20"/>
          <w:szCs w:val="20"/>
          <w:lang w:val="es"/>
        </w:rPr>
        <w:t xml:space="preserve"> Acero galvanizado en caliente o aluminio para las estructuras de soporte, vigas, rieles, celosías, pernos, tuercas y arandelas, así como los elementos de anclaje necesarios para su correcta fijación a la cubierta, garantizando la estabilidad del sistema y la compatibilidad con el tipo de cubierta existente.</w:t>
      </w:r>
    </w:p>
    <w:p w14:paraId="47A179D7" w14:textId="1A760E87"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675B5C1B" w14:textId="6F6E7836" w:rsidR="4A6F696A" w:rsidRDefault="4A6F696A" w:rsidP="62C29527">
      <w:pPr>
        <w:jc w:val="both"/>
        <w:rPr>
          <w:rFonts w:ascii="Calibri" w:eastAsia="Calibri" w:hAnsi="Calibri" w:cs="Calibri"/>
          <w:sz w:val="20"/>
          <w:szCs w:val="20"/>
          <w:lang w:val="es"/>
        </w:rPr>
      </w:pPr>
      <w:r w:rsidRPr="62C29527">
        <w:rPr>
          <w:rFonts w:ascii="Calibri" w:eastAsia="Calibri" w:hAnsi="Calibri" w:cs="Calibri"/>
          <w:b/>
          <w:bCs/>
          <w:sz w:val="20"/>
          <w:szCs w:val="20"/>
          <w:lang w:val="es"/>
        </w:rPr>
        <w:t>Normativa:</w:t>
      </w:r>
      <w:r w:rsidRPr="62C29527">
        <w:rPr>
          <w:rFonts w:ascii="Calibri" w:eastAsia="Calibri" w:hAnsi="Calibri" w:cs="Calibri"/>
          <w:sz w:val="20"/>
          <w:szCs w:val="20"/>
          <w:lang w:val="es"/>
        </w:rPr>
        <w:t xml:space="preserve"> La estructura que soporta los módulos solares debe dar cumplimiento a la norma NSR 10 y/o NTC 5832 (para estructuras de acero).</w:t>
      </w:r>
    </w:p>
    <w:p w14:paraId="1AF03CB1" w14:textId="7BC3DD73"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6AC0F03" w14:textId="0A3AF07E"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Se aceptará acero galvanizado en caliente con un espesor mínimo que asegure la vida útil garantizada de la estructura y cumplirá la norma ISO 1461:2009.</w:t>
      </w:r>
    </w:p>
    <w:p w14:paraId="4A6ABF8B" w14:textId="3D49715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A3A5C05" w14:textId="57C77844" w:rsidR="4A6F696A" w:rsidRDefault="4A6F696A" w:rsidP="62C29527">
      <w:pPr>
        <w:jc w:val="both"/>
        <w:rPr>
          <w:rFonts w:ascii="Calibri" w:eastAsia="Calibri" w:hAnsi="Calibri" w:cs="Calibri"/>
          <w:sz w:val="20"/>
          <w:szCs w:val="20"/>
          <w:lang w:val="es"/>
        </w:rPr>
      </w:pPr>
      <w:r w:rsidRPr="38A25E75">
        <w:rPr>
          <w:rFonts w:ascii="Calibri" w:eastAsia="Calibri" w:hAnsi="Calibri" w:cs="Calibri"/>
          <w:sz w:val="20"/>
          <w:szCs w:val="20"/>
          <w:lang w:val="es"/>
        </w:rPr>
        <w:t>Se deben instalar las estructuras de tal forma que determinen la orientación e inclinación idónea para la maximización de la producción energética de los módulos solares, teniendo en cuenta una óptima relación beneficio costo y las condiciones de limpieza de los paneles. El sistema de montaje soportará los impactos estáticos y ambientales del emplazamiento durante los 25 años de vida útil de</w:t>
      </w:r>
      <w:r w:rsidR="5AD80BAB" w:rsidRPr="38A25E75">
        <w:rPr>
          <w:rFonts w:ascii="Calibri" w:eastAsia="Calibri" w:hAnsi="Calibri" w:cs="Calibri"/>
          <w:sz w:val="20"/>
          <w:szCs w:val="20"/>
          <w:lang w:val="es"/>
        </w:rPr>
        <w:t xml:space="preserve"> los SSFV</w:t>
      </w:r>
      <w:r w:rsidRPr="38A25E75">
        <w:rPr>
          <w:rFonts w:ascii="Calibri" w:eastAsia="Calibri" w:hAnsi="Calibri" w:cs="Calibri"/>
          <w:sz w:val="20"/>
          <w:szCs w:val="20"/>
          <w:lang w:val="es"/>
        </w:rPr>
        <w:t>. No está permitido realizar huecos o taladrar los paneles. El montaje de estructuras se debe realizar de tal forma que facilite el montaje y desmontaje de paneles para facilidad de futuros mantenimientos.</w:t>
      </w:r>
    </w:p>
    <w:p w14:paraId="0DE5176A" w14:textId="20848CB4"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F02655E" w14:textId="17494525"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El contratista debe suministrar la memoria de cálculo que soporte claramente la escogencia del sistema de fijación y anclaje de la estructura sobre cubierta. Esta deberá tener un análisis claro de las cargas, verificación de la capacidad estructural de la cubierta, referencia de la normatividad usada y conclusiones.</w:t>
      </w:r>
    </w:p>
    <w:p w14:paraId="653B7022" w14:textId="5B8776D6"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ADE7798" w14:textId="71313E4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El tipo de anclaje debe ser acorde a los diseños descritos en este documento en las especificaciones técnicas y deberá garantizar la estabilidad del sistema y la integridad de la cubierta. Si los cables son conducidos por las correas o elementos de la estructura, se deberá instalar protección en los filos mediante cubre filos o borde pasacables en material hule, polietileno o similar que garantice su permanencia y fijación durante la vida útil del sistema.</w:t>
      </w:r>
    </w:p>
    <w:p w14:paraId="2FCB5501" w14:textId="28C8D00B"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80968DA" w14:textId="67F13E8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Se recomienda no tener uniones bimetálicas por razones de la corrosión galvánica asociada; en el caso de tener que utilizar dentro de una misma estructura acero y aluminio se preverá una separación galvánica tanto entre correas de diferentes materiales, como entre correas y módulos. Se debe incluir la cantidad suficientes de puntos de apoyo requeridos para evitar la flecha o pandeo de la estructura durante su vida útil.</w:t>
      </w:r>
    </w:p>
    <w:p w14:paraId="7D169C53" w14:textId="6AD096F8"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ECCA9D9" w14:textId="56A383E2"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Por recomendación general, para el uso de accesorios, tornillería y demás en las estructuras metálicas se debe asegurar que los diferentes materiales en combinaciones con la estructura no presenten par galvánico. Este tipo de corrosión es especialmente relevante cuando se plantean uniones de acero inoxidable con acero al carbono o aceros de baja aleación. Es importante seleccionar los materiales de soldadura de modo que sean al menos tan nobles como el material base. En ambientes corrosivos en los que pudiera estar presente el agua, tales como ambientes industriales pesados, atmósferas marinas, y donde pudiera existir inmersión en agua salobre o marina, deben evitarse las uniones de aceros inoxidables auténticos mediante tornillos martensíticos y ferríticos.</w:t>
      </w:r>
    </w:p>
    <w:p w14:paraId="489C9510" w14:textId="1F33888A"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69A97F10" w14:textId="5A34585B" w:rsidR="4A6F696A" w:rsidRDefault="4A6F696A" w:rsidP="62C29527">
      <w:pPr>
        <w:jc w:val="both"/>
        <w:rPr>
          <w:rFonts w:ascii="Calibri" w:eastAsia="Calibri" w:hAnsi="Calibri" w:cs="Calibri"/>
          <w:sz w:val="20"/>
          <w:szCs w:val="20"/>
          <w:lang w:val="es"/>
        </w:rPr>
      </w:pPr>
      <w:r w:rsidRPr="62C29527">
        <w:rPr>
          <w:rFonts w:ascii="Calibri" w:eastAsia="Calibri" w:hAnsi="Calibri" w:cs="Calibri"/>
          <w:b/>
          <w:bCs/>
          <w:sz w:val="20"/>
          <w:szCs w:val="20"/>
          <w:lang w:val="es"/>
        </w:rPr>
        <w:t xml:space="preserve">Sistema de puesta a tierra: </w:t>
      </w:r>
      <w:r w:rsidRPr="62C29527">
        <w:rPr>
          <w:rFonts w:ascii="Calibri" w:eastAsia="Calibri" w:hAnsi="Calibri" w:cs="Calibri"/>
          <w:sz w:val="20"/>
          <w:szCs w:val="20"/>
          <w:lang w:val="es"/>
        </w:rPr>
        <w:t>El sistema de puesta a tierra deberá instalarse de acuerdo con las especificaciones técnicas del RETIE y NTC2050. Las estructuras y los marcos metálicos de los módulos estarán conectados a una toma de tierra, que será la misma que la del resto de la instalación.</w:t>
      </w:r>
    </w:p>
    <w:p w14:paraId="0E4BFE61" w14:textId="7C666C24"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851E180" w14:textId="53ACF9AF"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Se realizará la debida puesta a tierra del gabinete de protecciones, del inversor, de la estructura soporte de los módulos fotovoltaicos, módulos de almacenamiento del cuarto de baterías, protecciones barraje y DPS; todos unidos a una misma pica a tierra para guardar la equipotencialidad de la instalación.</w:t>
      </w:r>
    </w:p>
    <w:p w14:paraId="3DDC3B4F" w14:textId="301D348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D28D1FF" w14:textId="14A7C352" w:rsidR="4A6F696A" w:rsidRDefault="6D645468" w:rsidP="62C29527">
      <w:pPr>
        <w:jc w:val="both"/>
        <w:rPr>
          <w:rFonts w:ascii="Calibri" w:eastAsia="Calibri" w:hAnsi="Calibri" w:cs="Calibri"/>
          <w:sz w:val="20"/>
          <w:szCs w:val="20"/>
          <w:lang w:val="es"/>
        </w:rPr>
      </w:pPr>
      <w:r w:rsidRPr="38A25E75">
        <w:rPr>
          <w:rFonts w:ascii="Calibri" w:eastAsia="Calibri" w:hAnsi="Calibri" w:cs="Calibri"/>
          <w:sz w:val="20"/>
          <w:szCs w:val="20"/>
          <w:lang w:val="es"/>
        </w:rPr>
        <w:t xml:space="preserve">La implementación </w:t>
      </w:r>
      <w:r w:rsidR="4A6F696A" w:rsidRPr="38A25E75">
        <w:rPr>
          <w:rFonts w:ascii="Calibri" w:eastAsia="Calibri" w:hAnsi="Calibri" w:cs="Calibri"/>
          <w:sz w:val="20"/>
          <w:szCs w:val="20"/>
          <w:lang w:val="es"/>
        </w:rPr>
        <w:t>deberá contar con todos los elementos de protección necesarios y requeridos por la normativa. En especial, pero sin limitarse a, protecciones eléctricas contra descargas atmosféricas y las respectivas barreras, y señalización que impidan el contacto directo con elementos energizados.</w:t>
      </w:r>
    </w:p>
    <w:p w14:paraId="0E4BC952" w14:textId="008AFC81" w:rsidR="4A6F696A" w:rsidRDefault="4A6F696A" w:rsidP="62C29527">
      <w:pPr>
        <w:jc w:val="both"/>
        <w:rPr>
          <w:rFonts w:ascii="Calibri" w:eastAsia="Calibri" w:hAnsi="Calibri" w:cs="Calibri"/>
          <w:b/>
          <w:bCs/>
          <w:sz w:val="20"/>
          <w:szCs w:val="20"/>
          <w:lang w:val="es"/>
        </w:rPr>
      </w:pPr>
      <w:r w:rsidRPr="62C29527">
        <w:rPr>
          <w:rFonts w:ascii="Calibri" w:eastAsia="Calibri" w:hAnsi="Calibri" w:cs="Calibri"/>
          <w:b/>
          <w:bCs/>
          <w:sz w:val="20"/>
          <w:szCs w:val="20"/>
          <w:lang w:val="es"/>
        </w:rPr>
        <w:t xml:space="preserve"> </w:t>
      </w:r>
    </w:p>
    <w:p w14:paraId="2BF2E987" w14:textId="77EB4E15" w:rsidR="4A6F696A" w:rsidRDefault="4A6F696A" w:rsidP="62C29527">
      <w:pPr>
        <w:jc w:val="both"/>
        <w:rPr>
          <w:rFonts w:ascii="Calibri" w:eastAsia="Calibri" w:hAnsi="Calibri" w:cs="Calibri"/>
          <w:sz w:val="20"/>
          <w:szCs w:val="20"/>
          <w:lang w:val="es"/>
        </w:rPr>
      </w:pPr>
      <w:r w:rsidRPr="62C29527">
        <w:rPr>
          <w:rFonts w:ascii="Calibri" w:eastAsia="Calibri" w:hAnsi="Calibri" w:cs="Calibri"/>
          <w:b/>
          <w:bCs/>
          <w:sz w:val="20"/>
          <w:szCs w:val="20"/>
          <w:lang w:val="es"/>
        </w:rPr>
        <w:t>Comunicaciones</w:t>
      </w:r>
      <w:r w:rsidRPr="62C29527">
        <w:rPr>
          <w:rFonts w:ascii="Calibri" w:eastAsia="Calibri" w:hAnsi="Calibri" w:cs="Calibri"/>
          <w:sz w:val="20"/>
          <w:szCs w:val="20"/>
          <w:lang w:val="es"/>
        </w:rPr>
        <w:t xml:space="preserve">: El SSFV debe contar con equipos de comunicaciones y monitoreo con gestión de conexión a redes de comunicación alámbricas o inalámbricas. Lo que permita la monitorización continua del funcionamiento de los diferentes equipos, así como el control remoto de los mismos y la regulación de la producción. </w:t>
      </w:r>
    </w:p>
    <w:p w14:paraId="2DA2C2A2" w14:textId="6723731F"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10C782B" w14:textId="44E390C6" w:rsidR="4A6F696A" w:rsidRDefault="4A6F696A" w:rsidP="62C29527">
      <w:pPr>
        <w:jc w:val="both"/>
        <w:rPr>
          <w:rFonts w:ascii="Calibri" w:eastAsia="Calibri" w:hAnsi="Calibri" w:cs="Calibri"/>
          <w:sz w:val="20"/>
          <w:szCs w:val="20"/>
        </w:rPr>
      </w:pPr>
      <w:r w:rsidRPr="62C29527">
        <w:rPr>
          <w:rFonts w:ascii="Calibri" w:eastAsia="Calibri" w:hAnsi="Calibri" w:cs="Calibri"/>
          <w:sz w:val="20"/>
          <w:szCs w:val="20"/>
        </w:rPr>
        <w:t>La arquitectura de comunicaciones definida para el SSFV en cubierta establece la recopilación de datos de generación de los inversores a través de un datalogger (registrador de datos) y un Smart Logger que monitorea y administra sistemas fotovoltaicos. El sistema debe permitir la comunicación con redes externas a la locación del SSFV a través de protocolos estándar Modbus TCP/IP, IEC 60870-5-104 o IEC 61850, con el fin de enviar la información a software de terceros. Por lo anterior; el contratista deberá suministrar, instalar, realizar las pruebas y la puesta en marcha del sistema de monitoreo del SSFV.</w:t>
      </w:r>
    </w:p>
    <w:p w14:paraId="246E8098" w14:textId="16969CF4"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B3A5BB4" w14:textId="231C77A4" w:rsidR="4A6F696A" w:rsidRDefault="4A6F696A" w:rsidP="62C29527">
      <w:pPr>
        <w:jc w:val="both"/>
        <w:rPr>
          <w:rFonts w:ascii="Calibri" w:eastAsia="Calibri" w:hAnsi="Calibri" w:cs="Calibri"/>
          <w:sz w:val="20"/>
          <w:szCs w:val="20"/>
        </w:rPr>
      </w:pPr>
      <w:r w:rsidRPr="62C29527">
        <w:rPr>
          <w:rFonts w:ascii="Calibri" w:eastAsia="Calibri" w:hAnsi="Calibri" w:cs="Calibri"/>
          <w:b/>
          <w:bCs/>
          <w:sz w:val="20"/>
          <w:szCs w:val="20"/>
        </w:rPr>
        <w:t xml:space="preserve">Instalación redes eléctricas internas (Instalación Eléctrica): </w:t>
      </w:r>
      <w:r w:rsidRPr="62C29527">
        <w:rPr>
          <w:rFonts w:ascii="Calibri" w:eastAsia="Calibri" w:hAnsi="Calibri" w:cs="Calibri"/>
          <w:sz w:val="20"/>
          <w:szCs w:val="20"/>
        </w:rPr>
        <w:t>La instalación eléctrica debe hacerse conforme la normativa nacional aplicable (RETIE, NTC 2050), la sección 690 del National Electrical Code - NEC, y siguiendo las recomendaciones de los fabricantes de los equipos a instalar. El diseño e instalación debe ser realizada por profesionales competentes, quien deben declarar el Cumplimiento del RETIE (Numeral 20.25). Por otra parte, el diseño de la red eléctrica deberá contar con cuadro de carga, memorias de cálculo y diagramas unifilares, la totalidad del material eléctrico a instalar debe contar con Certificación de Producto de conformidad con RETIE emitida por un organismo acreditado.</w:t>
      </w:r>
    </w:p>
    <w:p w14:paraId="2C2DC51C" w14:textId="6CA14931"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F08A034" w14:textId="32514572" w:rsidR="4A6F696A" w:rsidRDefault="4A6F696A" w:rsidP="62C29527">
      <w:pPr>
        <w:jc w:val="both"/>
        <w:rPr>
          <w:rFonts w:ascii="Calibri" w:eastAsia="Calibri" w:hAnsi="Calibri" w:cs="Calibri"/>
          <w:sz w:val="20"/>
          <w:szCs w:val="20"/>
          <w:lang w:val="es"/>
        </w:rPr>
      </w:pPr>
      <w:r w:rsidRPr="38A25E75">
        <w:rPr>
          <w:rFonts w:ascii="Calibri" w:eastAsia="Calibri" w:hAnsi="Calibri" w:cs="Calibri"/>
          <w:sz w:val="20"/>
          <w:szCs w:val="20"/>
          <w:lang w:val="es"/>
        </w:rPr>
        <w:t>Con el fin de apreciar el alcance de los trabajos a ejecutar, es necesario que el Contratista evalúe durante la visita al sitio de</w:t>
      </w:r>
      <w:r w:rsidR="211399DD" w:rsidRPr="38A25E75">
        <w:rPr>
          <w:rFonts w:ascii="Calibri" w:eastAsia="Calibri" w:hAnsi="Calibri" w:cs="Calibri"/>
          <w:sz w:val="20"/>
          <w:szCs w:val="20"/>
          <w:lang w:val="es"/>
        </w:rPr>
        <w:t xml:space="preserve"> implementación</w:t>
      </w:r>
      <w:r w:rsidRPr="38A25E75">
        <w:rPr>
          <w:rFonts w:ascii="Calibri" w:eastAsia="Calibri" w:hAnsi="Calibri" w:cs="Calibri"/>
          <w:sz w:val="20"/>
          <w:szCs w:val="20"/>
          <w:lang w:val="es"/>
        </w:rPr>
        <w:t xml:space="preserve"> todos los aspectos relacionados con dichos trabajos.</w:t>
      </w:r>
    </w:p>
    <w:p w14:paraId="59E1289B" w14:textId="1B5288E6"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67B457D0" w14:textId="5E1158DB" w:rsidR="4A6F696A" w:rsidRDefault="4A6F696A" w:rsidP="62C29527">
      <w:pPr>
        <w:jc w:val="both"/>
        <w:rPr>
          <w:rFonts w:ascii="Calibri" w:eastAsia="Calibri" w:hAnsi="Calibri" w:cs="Calibri"/>
          <w:sz w:val="20"/>
          <w:szCs w:val="20"/>
        </w:rPr>
      </w:pPr>
      <w:r w:rsidRPr="38A25E75">
        <w:rPr>
          <w:rFonts w:ascii="Calibri" w:eastAsia="Calibri" w:hAnsi="Calibri" w:cs="Calibri"/>
          <w:sz w:val="20"/>
          <w:szCs w:val="20"/>
        </w:rPr>
        <w:t>Las especificaciones técnicas del Estudio de Análisis Coordinación de Protecciones (EACP) deberán atender lo dispuesto por la regulación, teniendo en cuenta todos los parámetros de selectividad requeridos y en general todo el marco regulatorio que le sea aplicable a</w:t>
      </w:r>
      <w:r w:rsidR="4F2124B9" w:rsidRPr="38A25E75">
        <w:rPr>
          <w:rFonts w:ascii="Calibri" w:eastAsia="Calibri" w:hAnsi="Calibri" w:cs="Calibri"/>
          <w:sz w:val="20"/>
          <w:szCs w:val="20"/>
        </w:rPr>
        <w:t xml:space="preserve"> la iniciativa</w:t>
      </w:r>
      <w:r w:rsidRPr="38A25E75">
        <w:rPr>
          <w:rFonts w:ascii="Calibri" w:eastAsia="Calibri" w:hAnsi="Calibri" w:cs="Calibri"/>
          <w:sz w:val="20"/>
          <w:szCs w:val="20"/>
        </w:rPr>
        <w:t>.</w:t>
      </w:r>
    </w:p>
    <w:p w14:paraId="2743DD5E" w14:textId="1CAEC591"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BB3EA20" w14:textId="4929D2AF"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Adicionalmente al EACP, deberán tenerse en cuenta para el diseño, sin limitarse a ello, los siguientes estudios:</w:t>
      </w:r>
    </w:p>
    <w:p w14:paraId="0ECE6A2A" w14:textId="31842675"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0207C00" w14:textId="2ED089A4" w:rsidR="4A6F696A" w:rsidRDefault="4A6F696A" w:rsidP="003408E6">
      <w:pPr>
        <w:pStyle w:val="Sinespaciado"/>
        <w:numPr>
          <w:ilvl w:val="0"/>
          <w:numId w:val="26"/>
        </w:numPr>
        <w:jc w:val="both"/>
        <w:rPr>
          <w:rFonts w:ascii="Calibri" w:eastAsia="Calibri" w:hAnsi="Calibri" w:cs="Calibri"/>
          <w:sz w:val="20"/>
          <w:szCs w:val="20"/>
          <w:lang w:val="es-ES"/>
        </w:rPr>
      </w:pPr>
      <w:r w:rsidRPr="62C29527">
        <w:rPr>
          <w:rFonts w:ascii="Calibri" w:eastAsia="Calibri" w:hAnsi="Calibri" w:cs="Calibri"/>
          <w:sz w:val="20"/>
          <w:szCs w:val="20"/>
          <w:lang w:val="es-ES"/>
        </w:rPr>
        <w:t>Estabilidad transitoria.</w:t>
      </w:r>
    </w:p>
    <w:p w14:paraId="5E239D04" w14:textId="331F3046" w:rsidR="4A6F696A" w:rsidRDefault="4A6F696A" w:rsidP="003408E6">
      <w:pPr>
        <w:pStyle w:val="Sinespaciado"/>
        <w:numPr>
          <w:ilvl w:val="0"/>
          <w:numId w:val="26"/>
        </w:numPr>
        <w:jc w:val="both"/>
        <w:rPr>
          <w:rFonts w:ascii="Calibri" w:eastAsia="Calibri" w:hAnsi="Calibri" w:cs="Calibri"/>
          <w:sz w:val="20"/>
          <w:szCs w:val="20"/>
          <w:lang w:val="es-ES"/>
        </w:rPr>
      </w:pPr>
      <w:r w:rsidRPr="62C29527">
        <w:rPr>
          <w:rFonts w:ascii="Calibri" w:eastAsia="Calibri" w:hAnsi="Calibri" w:cs="Calibri"/>
          <w:sz w:val="20"/>
          <w:szCs w:val="20"/>
          <w:lang w:val="es-ES"/>
        </w:rPr>
        <w:t>Cortocircuito.</w:t>
      </w:r>
    </w:p>
    <w:p w14:paraId="642B2656" w14:textId="7F9ED1AD" w:rsidR="4A6F696A" w:rsidRDefault="4A6F696A" w:rsidP="003408E6">
      <w:pPr>
        <w:pStyle w:val="Sinespaciado"/>
        <w:numPr>
          <w:ilvl w:val="0"/>
          <w:numId w:val="26"/>
        </w:numPr>
        <w:jc w:val="both"/>
        <w:rPr>
          <w:rFonts w:ascii="Calibri" w:eastAsia="Calibri" w:hAnsi="Calibri" w:cs="Calibri"/>
          <w:sz w:val="20"/>
          <w:szCs w:val="20"/>
          <w:lang w:val="es-ES"/>
        </w:rPr>
      </w:pPr>
      <w:r w:rsidRPr="62C29527">
        <w:rPr>
          <w:rFonts w:ascii="Calibri" w:eastAsia="Calibri" w:hAnsi="Calibri" w:cs="Calibri"/>
          <w:sz w:val="20"/>
          <w:szCs w:val="20"/>
          <w:lang w:val="es-ES"/>
        </w:rPr>
        <w:t>Arco eléctrico.</w:t>
      </w:r>
    </w:p>
    <w:p w14:paraId="166C1ECD" w14:textId="56EA043D" w:rsidR="4A6F696A" w:rsidRDefault="4A6F696A" w:rsidP="003408E6">
      <w:pPr>
        <w:pStyle w:val="Sinespaciado"/>
        <w:numPr>
          <w:ilvl w:val="0"/>
          <w:numId w:val="26"/>
        </w:numPr>
        <w:jc w:val="both"/>
        <w:rPr>
          <w:rFonts w:ascii="Calibri" w:eastAsia="Calibri" w:hAnsi="Calibri" w:cs="Calibri"/>
          <w:sz w:val="20"/>
          <w:szCs w:val="20"/>
          <w:lang w:val="es-ES"/>
        </w:rPr>
      </w:pPr>
      <w:r w:rsidRPr="62C29527">
        <w:rPr>
          <w:rFonts w:ascii="Calibri" w:eastAsia="Calibri" w:hAnsi="Calibri" w:cs="Calibri"/>
          <w:sz w:val="20"/>
          <w:szCs w:val="20"/>
          <w:lang w:val="es-ES"/>
        </w:rPr>
        <w:t>Flujo de potencia.</w:t>
      </w:r>
    </w:p>
    <w:p w14:paraId="495296A3" w14:textId="260D2EFB" w:rsidR="4A6F696A" w:rsidRDefault="4A6F696A" w:rsidP="003408E6">
      <w:pPr>
        <w:pStyle w:val="Sinespaciado"/>
        <w:numPr>
          <w:ilvl w:val="0"/>
          <w:numId w:val="26"/>
        </w:numPr>
        <w:jc w:val="both"/>
        <w:rPr>
          <w:rFonts w:ascii="Calibri" w:eastAsia="Calibri" w:hAnsi="Calibri" w:cs="Calibri"/>
          <w:sz w:val="20"/>
          <w:szCs w:val="20"/>
          <w:lang w:val="es-ES"/>
        </w:rPr>
      </w:pPr>
      <w:r w:rsidRPr="62C29527">
        <w:rPr>
          <w:rFonts w:ascii="Calibri" w:eastAsia="Calibri" w:hAnsi="Calibri" w:cs="Calibri"/>
          <w:sz w:val="20"/>
          <w:szCs w:val="20"/>
          <w:lang w:val="es-ES"/>
        </w:rPr>
        <w:t>Coordinación de aislamiento.</w:t>
      </w:r>
    </w:p>
    <w:p w14:paraId="054AEA91" w14:textId="21BD3B6B" w:rsidR="4A6F696A" w:rsidRDefault="4A6F696A" w:rsidP="003408E6">
      <w:pPr>
        <w:pStyle w:val="Sinespaciado"/>
        <w:numPr>
          <w:ilvl w:val="0"/>
          <w:numId w:val="26"/>
        </w:numPr>
        <w:jc w:val="both"/>
        <w:rPr>
          <w:rFonts w:ascii="Calibri" w:eastAsia="Calibri" w:hAnsi="Calibri" w:cs="Calibri"/>
          <w:sz w:val="20"/>
          <w:szCs w:val="20"/>
          <w:lang w:val="es-ES"/>
        </w:rPr>
      </w:pPr>
      <w:r w:rsidRPr="62C29527">
        <w:rPr>
          <w:rFonts w:ascii="Calibri" w:eastAsia="Calibri" w:hAnsi="Calibri" w:cs="Calibri"/>
          <w:sz w:val="20"/>
          <w:szCs w:val="20"/>
          <w:lang w:val="es-ES"/>
        </w:rPr>
        <w:t>Estudio de apantallamiento.</w:t>
      </w:r>
    </w:p>
    <w:p w14:paraId="4A7E0665" w14:textId="16E66D4A" w:rsidR="4A6F696A" w:rsidRDefault="4A6F696A" w:rsidP="003408E6">
      <w:pPr>
        <w:pStyle w:val="Sinespaciado"/>
        <w:numPr>
          <w:ilvl w:val="0"/>
          <w:numId w:val="26"/>
        </w:numPr>
        <w:jc w:val="both"/>
        <w:rPr>
          <w:rFonts w:ascii="Calibri" w:eastAsia="Calibri" w:hAnsi="Calibri" w:cs="Calibri"/>
          <w:sz w:val="20"/>
          <w:szCs w:val="20"/>
          <w:lang w:val="es-ES"/>
        </w:rPr>
      </w:pPr>
      <w:r w:rsidRPr="62C29527">
        <w:rPr>
          <w:rFonts w:ascii="Calibri" w:eastAsia="Calibri" w:hAnsi="Calibri" w:cs="Calibri"/>
          <w:sz w:val="20"/>
          <w:szCs w:val="20"/>
          <w:lang w:val="es-ES"/>
        </w:rPr>
        <w:t>Otros requeridos para el correcto funcionamiento de la planta.</w:t>
      </w:r>
    </w:p>
    <w:p w14:paraId="63BEDC79" w14:textId="55BC2C7F"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167582C" w14:textId="67263B61" w:rsidR="4A6F696A" w:rsidRDefault="4A6F696A" w:rsidP="62C29527">
      <w:pPr>
        <w:jc w:val="both"/>
        <w:rPr>
          <w:rFonts w:ascii="Calibri" w:eastAsia="Calibri" w:hAnsi="Calibri" w:cs="Calibri"/>
          <w:sz w:val="20"/>
          <w:szCs w:val="20"/>
        </w:rPr>
      </w:pPr>
      <w:r w:rsidRPr="38A25E75">
        <w:rPr>
          <w:rFonts w:ascii="Calibri" w:eastAsia="Calibri" w:hAnsi="Calibri" w:cs="Calibri"/>
          <w:sz w:val="20"/>
          <w:szCs w:val="20"/>
        </w:rPr>
        <w:t xml:space="preserve">Los cables de potencia y de comunicaciones deberán ir por ductos separados y tener adicionalmente cajas de inspección dedicadas para cada fin. La solución propuesta e implementada deberá garantizar que la red opere de manera segura y confiable sin generar alteraciones superiores a las permitidas por la regulación. Todos los equipos eléctricos deberán estar dimensionados para soportar la corriente máxima de corto circuito especificada para </w:t>
      </w:r>
      <w:r w:rsidR="35E70F38" w:rsidRPr="38A25E75">
        <w:rPr>
          <w:rFonts w:ascii="Calibri" w:eastAsia="Calibri" w:hAnsi="Calibri" w:cs="Calibri"/>
          <w:sz w:val="20"/>
          <w:szCs w:val="20"/>
        </w:rPr>
        <w:t>la iniciativa</w:t>
      </w:r>
      <w:r w:rsidRPr="38A25E75">
        <w:rPr>
          <w:rFonts w:ascii="Calibri" w:eastAsia="Calibri" w:hAnsi="Calibri" w:cs="Calibri"/>
          <w:sz w:val="20"/>
          <w:szCs w:val="20"/>
        </w:rPr>
        <w:t>.</w:t>
      </w:r>
    </w:p>
    <w:p w14:paraId="38B078D8" w14:textId="648DA5E0" w:rsidR="4A6F696A" w:rsidRDefault="4A6F696A" w:rsidP="62C29527">
      <w:pPr>
        <w:jc w:val="both"/>
        <w:rPr>
          <w:rFonts w:ascii="Calibri" w:eastAsia="Calibri" w:hAnsi="Calibri" w:cs="Calibri"/>
          <w:sz w:val="20"/>
          <w:szCs w:val="20"/>
          <w:lang w:val="es"/>
        </w:rPr>
      </w:pPr>
      <w:r w:rsidRPr="38A25E75">
        <w:rPr>
          <w:rFonts w:ascii="Calibri" w:eastAsia="Calibri" w:hAnsi="Calibri" w:cs="Calibri"/>
          <w:sz w:val="20"/>
          <w:szCs w:val="20"/>
          <w:lang w:val="es"/>
        </w:rPr>
        <w:t xml:space="preserve">  </w:t>
      </w:r>
    </w:p>
    <w:p w14:paraId="755A8F5F" w14:textId="196D2D2A" w:rsidR="4A6F696A" w:rsidRDefault="4A6F696A" w:rsidP="62C29527">
      <w:pPr>
        <w:jc w:val="both"/>
        <w:rPr>
          <w:rFonts w:ascii="Calibri" w:eastAsia="Calibri" w:hAnsi="Calibri" w:cs="Calibri"/>
          <w:sz w:val="20"/>
          <w:szCs w:val="20"/>
          <w:lang w:val="es"/>
        </w:rPr>
      </w:pPr>
      <w:r w:rsidRPr="3C234025">
        <w:rPr>
          <w:rFonts w:ascii="Calibri" w:eastAsia="Calibri" w:hAnsi="Calibri" w:cs="Calibri"/>
          <w:b/>
          <w:bCs/>
          <w:sz w:val="20"/>
          <w:szCs w:val="20"/>
          <w:lang w:val="es"/>
        </w:rPr>
        <w:t xml:space="preserve">Almacenamiento: </w:t>
      </w:r>
      <w:r w:rsidRPr="3C234025">
        <w:rPr>
          <w:rFonts w:ascii="Calibri" w:eastAsia="Calibri" w:hAnsi="Calibri" w:cs="Calibri"/>
          <w:sz w:val="20"/>
          <w:szCs w:val="20"/>
          <w:lang w:val="es"/>
        </w:rPr>
        <w:t xml:space="preserve">Las baterías de litio hierro fosfato (LiFePO4 para </w:t>
      </w:r>
      <w:r w:rsidR="65BDC99F" w:rsidRPr="3C234025">
        <w:rPr>
          <w:rFonts w:ascii="Calibri" w:eastAsia="Calibri" w:hAnsi="Calibri" w:cs="Calibri"/>
          <w:sz w:val="20"/>
          <w:szCs w:val="20"/>
          <w:lang w:val="es"/>
        </w:rPr>
        <w:t>equipos de movilidad eléctrica y energía solar</w:t>
      </w:r>
      <w:r w:rsidRPr="3C234025">
        <w:rPr>
          <w:rFonts w:ascii="Calibri" w:eastAsia="Calibri" w:hAnsi="Calibri" w:cs="Calibri"/>
          <w:sz w:val="20"/>
          <w:szCs w:val="20"/>
          <w:lang w:val="es"/>
        </w:rPr>
        <w:t>), reconocidas por su alta confiabilidad y seguridad operativa, se encuentran disponibles en diferentes capacidades de almacenamiento. Para la presente iniciativa se contemplan baterías que ofrecen un adecuado desempeño técnico.</w:t>
      </w:r>
    </w:p>
    <w:p w14:paraId="54A98D9A" w14:textId="1AFF2360"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B651D6E" w14:textId="667C73E3" w:rsidR="4A6F696A" w:rsidRDefault="4A6F696A" w:rsidP="62C29527">
      <w:pPr>
        <w:jc w:val="both"/>
        <w:rPr>
          <w:rFonts w:ascii="Calibri" w:eastAsia="Calibri" w:hAnsi="Calibri" w:cs="Calibri"/>
          <w:sz w:val="20"/>
          <w:szCs w:val="20"/>
        </w:rPr>
      </w:pPr>
      <w:r w:rsidRPr="3C234025">
        <w:rPr>
          <w:rFonts w:ascii="Calibri" w:eastAsia="Calibri" w:hAnsi="Calibri" w:cs="Calibri"/>
          <w:sz w:val="20"/>
          <w:szCs w:val="20"/>
        </w:rPr>
        <w:t xml:space="preserve">El suministro e instalación de las baterías deberá realizarse de conformidad con los lineamientos técnicos de producto y los requisitos de protección establecidos en la Norma Técnica Colombiana NTC 2050 y en el Reglamento Técnico de Instalaciones Eléctricas (RETIE), en su versión vigente (2024), específicamente lo dispuesto en el Artículo 3.17.3 – Baterías o sistemas de acumulación de energía eléctrica. Asimismo, deberá considerarse lo establecido en las secciones 1206 y 1207 del International Fire Code (IFC) 2021, de acuerdo con la tecnología de acumulación solicitada (LiFePO4) y la capacidad de almacenamiento definida </w:t>
      </w:r>
      <w:r w:rsidR="1186DAA1" w:rsidRPr="3C234025">
        <w:rPr>
          <w:rFonts w:ascii="Calibri" w:eastAsia="Calibri" w:hAnsi="Calibri" w:cs="Calibri"/>
          <w:sz w:val="20"/>
          <w:szCs w:val="20"/>
        </w:rPr>
        <w:t>para cada equipo</w:t>
      </w:r>
      <w:r w:rsidRPr="3C234025">
        <w:rPr>
          <w:rFonts w:ascii="Calibri" w:eastAsia="Calibri" w:hAnsi="Calibri" w:cs="Calibri"/>
          <w:sz w:val="20"/>
          <w:szCs w:val="20"/>
        </w:rPr>
        <w:t>.</w:t>
      </w:r>
    </w:p>
    <w:p w14:paraId="670356C3" w14:textId="6B9919A6"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69D4911D" w14:textId="0C824A37"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Normatividad de mínimo cumplimiento:</w:t>
      </w:r>
    </w:p>
    <w:p w14:paraId="60AAB021" w14:textId="104BD8F8"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6080DD3" w14:textId="733A906A" w:rsidR="4A6F696A" w:rsidRDefault="4A6F696A" w:rsidP="003408E6">
      <w:pPr>
        <w:pStyle w:val="Sinespaciado"/>
        <w:numPr>
          <w:ilvl w:val="0"/>
          <w:numId w:val="25"/>
        </w:numPr>
        <w:ind w:left="360"/>
        <w:jc w:val="both"/>
        <w:rPr>
          <w:rFonts w:ascii="Calibri" w:eastAsia="Calibri" w:hAnsi="Calibri" w:cs="Calibri"/>
          <w:sz w:val="20"/>
          <w:szCs w:val="20"/>
          <w:lang w:val="es-ES"/>
        </w:rPr>
      </w:pPr>
      <w:r w:rsidRPr="62C29527">
        <w:rPr>
          <w:rFonts w:ascii="Calibri" w:eastAsia="Calibri" w:hAnsi="Calibri" w:cs="Calibri"/>
          <w:sz w:val="20"/>
          <w:szCs w:val="20"/>
          <w:lang w:val="es-ES"/>
        </w:rPr>
        <w:t>IEC 61427-1/-2.</w:t>
      </w:r>
    </w:p>
    <w:p w14:paraId="13A73138" w14:textId="3910C069" w:rsidR="4A6F696A" w:rsidRDefault="4A6F696A" w:rsidP="003408E6">
      <w:pPr>
        <w:pStyle w:val="Sinespaciado"/>
        <w:numPr>
          <w:ilvl w:val="0"/>
          <w:numId w:val="25"/>
        </w:numPr>
        <w:ind w:left="360"/>
        <w:jc w:val="both"/>
        <w:rPr>
          <w:rFonts w:ascii="Calibri" w:eastAsia="Calibri" w:hAnsi="Calibri" w:cs="Calibri"/>
          <w:sz w:val="20"/>
          <w:szCs w:val="20"/>
          <w:lang w:val="es-ES"/>
        </w:rPr>
      </w:pPr>
      <w:r w:rsidRPr="62C29527">
        <w:rPr>
          <w:rFonts w:ascii="Calibri" w:eastAsia="Calibri" w:hAnsi="Calibri" w:cs="Calibri"/>
          <w:sz w:val="20"/>
          <w:szCs w:val="20"/>
          <w:lang w:val="es-ES"/>
        </w:rPr>
        <w:t>UL 9540.</w:t>
      </w:r>
    </w:p>
    <w:p w14:paraId="4EE921CB" w14:textId="595D55F9" w:rsidR="4A6F696A" w:rsidRDefault="4A6F696A" w:rsidP="003408E6">
      <w:pPr>
        <w:pStyle w:val="Sinespaciado"/>
        <w:numPr>
          <w:ilvl w:val="0"/>
          <w:numId w:val="25"/>
        </w:numPr>
        <w:ind w:left="360"/>
        <w:jc w:val="both"/>
        <w:rPr>
          <w:rFonts w:ascii="Calibri" w:eastAsia="Calibri" w:hAnsi="Calibri" w:cs="Calibri"/>
          <w:sz w:val="20"/>
          <w:szCs w:val="20"/>
          <w:lang w:val="es-ES"/>
        </w:rPr>
      </w:pPr>
      <w:r w:rsidRPr="62C29527">
        <w:rPr>
          <w:rFonts w:ascii="Calibri" w:eastAsia="Calibri" w:hAnsi="Calibri" w:cs="Calibri"/>
          <w:sz w:val="20"/>
          <w:szCs w:val="20"/>
          <w:lang w:val="es-ES"/>
        </w:rPr>
        <w:t>IEC 62619.</w:t>
      </w:r>
    </w:p>
    <w:p w14:paraId="149A4C8A" w14:textId="73852D7F" w:rsidR="4A6F696A" w:rsidRDefault="4A6F696A" w:rsidP="003408E6">
      <w:pPr>
        <w:pStyle w:val="Sinespaciado"/>
        <w:numPr>
          <w:ilvl w:val="0"/>
          <w:numId w:val="25"/>
        </w:numPr>
        <w:ind w:left="360"/>
        <w:jc w:val="both"/>
        <w:rPr>
          <w:rFonts w:ascii="Calibri" w:eastAsia="Calibri" w:hAnsi="Calibri" w:cs="Calibri"/>
          <w:sz w:val="20"/>
          <w:szCs w:val="20"/>
          <w:lang w:val="es-ES"/>
        </w:rPr>
      </w:pPr>
      <w:r w:rsidRPr="62C29527">
        <w:rPr>
          <w:rFonts w:ascii="Calibri" w:eastAsia="Calibri" w:hAnsi="Calibri" w:cs="Calibri"/>
          <w:sz w:val="20"/>
          <w:szCs w:val="20"/>
          <w:lang w:val="es-ES"/>
        </w:rPr>
        <w:t>IEC 62933.</w:t>
      </w:r>
    </w:p>
    <w:p w14:paraId="536A418B" w14:textId="04EC37FD" w:rsidR="4A6F696A" w:rsidRDefault="4A6F696A" w:rsidP="003408E6">
      <w:pPr>
        <w:pStyle w:val="Sinespaciado"/>
        <w:numPr>
          <w:ilvl w:val="0"/>
          <w:numId w:val="25"/>
        </w:numPr>
        <w:ind w:left="360"/>
        <w:jc w:val="both"/>
        <w:rPr>
          <w:rFonts w:ascii="Calibri" w:eastAsia="Calibri" w:hAnsi="Calibri" w:cs="Calibri"/>
          <w:sz w:val="20"/>
          <w:szCs w:val="20"/>
          <w:lang w:val="es-ES"/>
        </w:rPr>
      </w:pPr>
      <w:r w:rsidRPr="62C29527">
        <w:rPr>
          <w:rFonts w:ascii="Calibri" w:eastAsia="Calibri" w:hAnsi="Calibri" w:cs="Calibri"/>
          <w:sz w:val="20"/>
          <w:szCs w:val="20"/>
          <w:lang w:val="es-ES"/>
        </w:rPr>
        <w:t>NFPA 855.</w:t>
      </w:r>
    </w:p>
    <w:p w14:paraId="4CDD259B" w14:textId="77489BA7" w:rsidR="4A6F696A" w:rsidRDefault="4A6F696A" w:rsidP="003408E6">
      <w:pPr>
        <w:pStyle w:val="Sinespaciado"/>
        <w:numPr>
          <w:ilvl w:val="0"/>
          <w:numId w:val="25"/>
        </w:numPr>
        <w:ind w:left="360"/>
        <w:jc w:val="both"/>
        <w:rPr>
          <w:rFonts w:ascii="Calibri" w:eastAsia="Calibri" w:hAnsi="Calibri" w:cs="Calibri"/>
          <w:sz w:val="20"/>
          <w:szCs w:val="20"/>
          <w:lang w:val="es-ES"/>
        </w:rPr>
      </w:pPr>
      <w:r w:rsidRPr="62C29527">
        <w:rPr>
          <w:rFonts w:ascii="Calibri" w:eastAsia="Calibri" w:hAnsi="Calibri" w:cs="Calibri"/>
          <w:sz w:val="20"/>
          <w:szCs w:val="20"/>
          <w:lang w:val="es-ES"/>
        </w:rPr>
        <w:t>Sección 1206 y 1207 del IFC 2021.</w:t>
      </w:r>
    </w:p>
    <w:p w14:paraId="5AA295DB" w14:textId="66F5D2A2" w:rsidR="4A6F696A" w:rsidRDefault="4A6F696A" w:rsidP="003408E6">
      <w:pPr>
        <w:pStyle w:val="Sinespaciado"/>
        <w:numPr>
          <w:ilvl w:val="0"/>
          <w:numId w:val="25"/>
        </w:numPr>
        <w:ind w:left="360"/>
        <w:jc w:val="both"/>
        <w:rPr>
          <w:rFonts w:ascii="Calibri" w:eastAsia="Calibri" w:hAnsi="Calibri" w:cs="Calibri"/>
          <w:sz w:val="20"/>
          <w:szCs w:val="20"/>
          <w:lang w:val="es-ES"/>
        </w:rPr>
      </w:pPr>
      <w:r w:rsidRPr="62C29527">
        <w:rPr>
          <w:rFonts w:ascii="Calibri" w:eastAsia="Calibri" w:hAnsi="Calibri" w:cs="Calibri"/>
          <w:sz w:val="20"/>
          <w:szCs w:val="20"/>
          <w:lang w:val="es-ES"/>
        </w:rPr>
        <w:t>Certificado de conformidad de producto RETIE</w:t>
      </w:r>
    </w:p>
    <w:p w14:paraId="3C0610D2" w14:textId="3BC393C0" w:rsidR="4A6F696A" w:rsidRDefault="4A6F696A" w:rsidP="62C29527">
      <w:pPr>
        <w:jc w:val="both"/>
        <w:rPr>
          <w:rFonts w:ascii="Calibri" w:eastAsia="Calibri" w:hAnsi="Calibri" w:cs="Calibri"/>
          <w:sz w:val="20"/>
          <w:szCs w:val="20"/>
          <w:lang w:val="es"/>
        </w:rPr>
      </w:pPr>
      <w:r w:rsidRPr="38A25E75">
        <w:rPr>
          <w:rFonts w:ascii="Calibri" w:eastAsia="Calibri" w:hAnsi="Calibri" w:cs="Calibri"/>
          <w:color w:val="242424"/>
          <w:sz w:val="20"/>
          <w:szCs w:val="20"/>
          <w:lang w:val="es"/>
        </w:rPr>
        <w:t xml:space="preserve"> </w:t>
      </w:r>
      <w:r w:rsidRPr="38A25E75">
        <w:rPr>
          <w:rFonts w:ascii="Calibri" w:eastAsia="Calibri" w:hAnsi="Calibri" w:cs="Calibri"/>
          <w:sz w:val="20"/>
          <w:szCs w:val="20"/>
          <w:lang w:val="es"/>
        </w:rPr>
        <w:t xml:space="preserve"> </w:t>
      </w:r>
    </w:p>
    <w:p w14:paraId="774B65B4" w14:textId="1DDB51ED" w:rsidR="4A6F696A" w:rsidRDefault="4A6F696A" w:rsidP="62C29527">
      <w:pPr>
        <w:jc w:val="both"/>
        <w:rPr>
          <w:rFonts w:ascii="Calibri" w:eastAsia="Calibri" w:hAnsi="Calibri" w:cs="Calibri"/>
          <w:sz w:val="20"/>
          <w:szCs w:val="20"/>
          <w:lang w:val="es"/>
        </w:rPr>
      </w:pPr>
      <w:r w:rsidRPr="62C29527">
        <w:rPr>
          <w:rFonts w:ascii="Calibri" w:eastAsia="Calibri" w:hAnsi="Calibri" w:cs="Calibri"/>
          <w:b/>
          <w:bCs/>
          <w:sz w:val="20"/>
          <w:szCs w:val="20"/>
          <w:lang w:val="es"/>
        </w:rPr>
        <w:t xml:space="preserve">Acondicionamiento de espacio para caja de control, almacenamiento y protecciones eléctricas del SSFV: </w:t>
      </w:r>
      <w:r w:rsidRPr="62C29527">
        <w:rPr>
          <w:rFonts w:ascii="Calibri" w:eastAsia="Calibri" w:hAnsi="Calibri" w:cs="Calibri"/>
          <w:sz w:val="20"/>
          <w:szCs w:val="20"/>
          <w:lang w:val="es"/>
        </w:rPr>
        <w:t xml:space="preserve">El contratista deberá realizar los estudios pertinentes para el diseño y presupuesto para la adecuación de un espacio en la edificación, con previa aprobación de la supervisión y/o interventoría de un espacio para gabinetes en la edificación que cumpla con las dimensiones y requerimientos técnicos necesarios para proteger los diferentes componentes  de control, almacenamiento, seguimiento y monitoreo para la buena operación del SSFV instalado. La adecuación en la edificación debe cumplir con las normas de diseño y construcción sismorresistente NSR-10. </w:t>
      </w:r>
    </w:p>
    <w:p w14:paraId="5335353A" w14:textId="5250D54B"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62B4FC9E" w14:textId="5F71C2C3" w:rsidR="4A6F696A" w:rsidRDefault="4A6F696A" w:rsidP="62C29527">
      <w:pPr>
        <w:jc w:val="both"/>
        <w:rPr>
          <w:rFonts w:ascii="Calibri" w:eastAsia="Calibri" w:hAnsi="Calibri" w:cs="Calibri"/>
          <w:sz w:val="20"/>
          <w:szCs w:val="20"/>
        </w:rPr>
      </w:pPr>
      <w:r w:rsidRPr="38A25E75">
        <w:rPr>
          <w:rFonts w:ascii="Calibri" w:eastAsia="Calibri" w:hAnsi="Calibri" w:cs="Calibri"/>
          <w:sz w:val="20"/>
          <w:szCs w:val="20"/>
        </w:rPr>
        <w:t>Los diferentes trabajos serán coordinados por el personal profesional e idóneo de manera que las actividades se realicen con calidad de la forma más rápida, segura y eficiente posible. El dimensionamiento de las cantidades de los recursos de mano de obra, maquinaria y equipos se hará de tal forma que sea posible el cumplimiento de los tiempos establecidos en el Plan de Trabajo Detallado y los ajustes necesarios que se hagan sobre éste.</w:t>
      </w:r>
    </w:p>
    <w:p w14:paraId="07C16537" w14:textId="0D810FFC"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22C65DA" w14:textId="2E8C78EB" w:rsidR="4A6F696A" w:rsidRDefault="4A6F696A" w:rsidP="62C29527">
      <w:pPr>
        <w:jc w:val="both"/>
        <w:rPr>
          <w:rFonts w:ascii="Calibri" w:eastAsia="Calibri" w:hAnsi="Calibri" w:cs="Calibri"/>
          <w:sz w:val="20"/>
          <w:szCs w:val="20"/>
        </w:rPr>
      </w:pPr>
      <w:r w:rsidRPr="62C29527">
        <w:rPr>
          <w:rFonts w:ascii="Calibri" w:eastAsia="Calibri" w:hAnsi="Calibri" w:cs="Calibri"/>
          <w:sz w:val="20"/>
          <w:szCs w:val="20"/>
        </w:rPr>
        <w:t>Para el diseño y adecuación del área de la edificación para los gabinetes se deberá de tener en cuenta la óptima ubicación de ésta, revisando en todo caso si lo hay, la posibilidad de inundación del interior de la edificación, en este caso se deberá considerar evitar colocar en una ubicación donde pueda presentarse estas situaciones.</w:t>
      </w:r>
    </w:p>
    <w:p w14:paraId="5594B07F" w14:textId="1F4551A8"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6D352E33" w14:textId="254400B7" w:rsidR="4A6F696A" w:rsidRDefault="4A6F696A" w:rsidP="62C29527">
      <w:pPr>
        <w:jc w:val="both"/>
        <w:rPr>
          <w:rFonts w:ascii="Calibri" w:eastAsia="Calibri" w:hAnsi="Calibri" w:cs="Calibri"/>
          <w:sz w:val="20"/>
          <w:szCs w:val="20"/>
        </w:rPr>
      </w:pPr>
      <w:r w:rsidRPr="62C29527">
        <w:rPr>
          <w:rFonts w:ascii="Calibri" w:eastAsia="Calibri" w:hAnsi="Calibri" w:cs="Calibri"/>
          <w:b/>
          <w:bCs/>
          <w:sz w:val="20"/>
          <w:szCs w:val="20"/>
        </w:rPr>
        <w:t xml:space="preserve">Precauciones contra incendio: </w:t>
      </w:r>
      <w:r w:rsidRPr="62C29527">
        <w:rPr>
          <w:rFonts w:ascii="Calibri" w:eastAsia="Calibri" w:hAnsi="Calibri" w:cs="Calibri"/>
          <w:sz w:val="20"/>
          <w:szCs w:val="20"/>
        </w:rPr>
        <w:t xml:space="preserve">La fabricación de los aparatos, su disposición, conexiones y cableado interno debe ser de tal manera que los riesgos de incendio y por consiguiente los daños en las instalaciones, sean mínimos. El Contratista será responsable de sellar en forma adecuada todos los orificios en el equipo que suministra, a través de los cuales pasen cables y de protegerlos contra daños mecánicos o incendio en los lugares donde queden expuestos. Para las baterías a instalarse se deberá tener en cuenta las disposiciones del International Fire Code – IFC 2021 en su sección 1206 y 1207 así como lo recomendado en la NFPA 855 y NFPA 70. Se recomienda tener cerca del almacenamiento de baterías, dos extintores tipo CO2 Satélite de 150 </w:t>
      </w:r>
      <w:r w:rsidR="4044850F" w:rsidRPr="62C29527">
        <w:rPr>
          <w:rFonts w:ascii="Calibri" w:eastAsia="Calibri" w:hAnsi="Calibri" w:cs="Calibri"/>
          <w:sz w:val="20"/>
          <w:szCs w:val="20"/>
        </w:rPr>
        <w:t>lb</w:t>
      </w:r>
      <w:r w:rsidRPr="62C29527">
        <w:rPr>
          <w:rFonts w:ascii="Calibri" w:eastAsia="Calibri" w:hAnsi="Calibri" w:cs="Calibri"/>
          <w:sz w:val="20"/>
          <w:szCs w:val="20"/>
        </w:rPr>
        <w:t xml:space="preserve"> cada uno, de color rojo. </w:t>
      </w:r>
    </w:p>
    <w:p w14:paraId="27C6EFC0" w14:textId="48FE4E80"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2695488E" w14:textId="16AF74B7"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Todo el sistema debe contar con etiquetado y señalización de seguridad en el SSFV (según normas RETIE, NTC 2050 y NFPA 70E). Se deben implementar salidas y señalización de emergencia. Toda la señalización debe estar en idioma español.</w:t>
      </w:r>
    </w:p>
    <w:p w14:paraId="3AAAA02D" w14:textId="2F9A6778"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8C0880D" w14:textId="6D8AAC9A" w:rsidR="4A6F696A" w:rsidRDefault="4A6F696A" w:rsidP="62C29527">
      <w:pPr>
        <w:jc w:val="both"/>
        <w:rPr>
          <w:rFonts w:ascii="Calibri" w:eastAsia="Calibri" w:hAnsi="Calibri" w:cs="Calibri"/>
          <w:sz w:val="20"/>
          <w:szCs w:val="20"/>
          <w:lang w:val="es"/>
        </w:rPr>
      </w:pPr>
      <w:r w:rsidRPr="3C234025">
        <w:rPr>
          <w:rFonts w:ascii="Calibri" w:eastAsia="Calibri" w:hAnsi="Calibri" w:cs="Calibri"/>
          <w:sz w:val="20"/>
          <w:szCs w:val="20"/>
          <w:lang w:val="es"/>
        </w:rPr>
        <w:t>Adicionalmente, en cuanto a los riesgos eléctricos, es necesario dar cumplimiento estricto a lo dispuesto en el Reglamento Técnico de Instalaciones Eléctricas - RETIE en su TÍTULO 5 – REQUISITOS TÉCNICOS PRINCIPALES o aquel que resulte aplicable, dispone cuales son de aplicación y cumplimiento obligatorio en todos los niveles de tensión y en todos los procesos y deben ser cumplidos según la situación particular en los sistemas e instalaciones eléctricas.</w:t>
      </w:r>
    </w:p>
    <w:p w14:paraId="480E9569" w14:textId="07FD35BC" w:rsidR="3C234025" w:rsidRDefault="3C234025" w:rsidP="3C234025">
      <w:pPr>
        <w:jc w:val="both"/>
        <w:rPr>
          <w:rFonts w:ascii="Calibri" w:eastAsia="Calibri" w:hAnsi="Calibri" w:cs="Calibri"/>
          <w:sz w:val="20"/>
          <w:szCs w:val="20"/>
          <w:lang w:val="es"/>
        </w:rPr>
      </w:pPr>
    </w:p>
    <w:p w14:paraId="667DD317" w14:textId="537DFFE6"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039F359" w14:textId="147651CE" w:rsidR="4A6F696A" w:rsidRDefault="4A6F696A" w:rsidP="62C29527">
      <w:pPr>
        <w:pStyle w:val="Ttulo1"/>
        <w:jc w:val="both"/>
        <w:rPr>
          <w:rFonts w:ascii="Calibri" w:eastAsia="Calibri" w:hAnsi="Calibri" w:cs="Calibri"/>
          <w:lang w:val="es"/>
        </w:rPr>
      </w:pPr>
      <w:bookmarkStart w:id="11" w:name="_Toc1100377409"/>
      <w:r w:rsidRPr="6F1EDA97">
        <w:rPr>
          <w:rFonts w:ascii="Calibri" w:eastAsia="Calibri" w:hAnsi="Calibri" w:cs="Calibri"/>
          <w:lang w:val="es"/>
        </w:rPr>
        <w:t>PRUEBAS DE FUNCIONAMIENTO Y NORMAL OPERACIÓN DE LOS SSFV.</w:t>
      </w:r>
      <w:bookmarkEnd w:id="11"/>
    </w:p>
    <w:p w14:paraId="392E1921" w14:textId="167F6FB5" w:rsidR="4A6F696A" w:rsidRDefault="4A6F696A" w:rsidP="62C29527">
      <w:pPr>
        <w:jc w:val="both"/>
        <w:rPr>
          <w:rFonts w:ascii="Calibri" w:eastAsia="Calibri" w:hAnsi="Calibri" w:cs="Calibri"/>
          <w:b/>
          <w:bCs/>
          <w:i/>
          <w:iCs/>
          <w:sz w:val="20"/>
          <w:szCs w:val="20"/>
          <w:lang w:val="es"/>
        </w:rPr>
      </w:pPr>
      <w:r w:rsidRPr="62C29527">
        <w:rPr>
          <w:rFonts w:ascii="Calibri" w:eastAsia="Calibri" w:hAnsi="Calibri" w:cs="Calibri"/>
          <w:b/>
          <w:bCs/>
          <w:i/>
          <w:iCs/>
          <w:sz w:val="20"/>
          <w:szCs w:val="20"/>
          <w:lang w:val="es"/>
        </w:rPr>
        <w:t xml:space="preserve"> </w:t>
      </w:r>
    </w:p>
    <w:p w14:paraId="553440AF" w14:textId="12D1F883"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Las siguientes son las pruebas mínimas para realizar a los SSFV, sin limitarse exclusivamente a ellas:</w:t>
      </w:r>
    </w:p>
    <w:p w14:paraId="525E6E3A" w14:textId="323CDD05"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EA5AABF" w14:textId="0A3DF28D" w:rsidR="4A6F696A" w:rsidRDefault="4A6F696A" w:rsidP="003408E6">
      <w:pPr>
        <w:pStyle w:val="Prrafodelista"/>
        <w:numPr>
          <w:ilvl w:val="0"/>
          <w:numId w:val="24"/>
        </w:numPr>
        <w:ind w:left="360"/>
        <w:jc w:val="both"/>
        <w:rPr>
          <w:rFonts w:ascii="Calibri" w:eastAsia="Calibri" w:hAnsi="Calibri" w:cs="Calibri"/>
          <w:sz w:val="20"/>
          <w:szCs w:val="20"/>
          <w:lang w:val="es"/>
        </w:rPr>
      </w:pPr>
      <w:r w:rsidRPr="38A25E75">
        <w:rPr>
          <w:rFonts w:ascii="Calibri" w:eastAsia="Calibri" w:hAnsi="Calibri" w:cs="Calibri"/>
          <w:sz w:val="20"/>
          <w:szCs w:val="20"/>
          <w:lang w:val="es"/>
        </w:rPr>
        <w:t xml:space="preserve">Inspección visual de sombras para confirmar que </w:t>
      </w:r>
      <w:r w:rsidR="78406CFD" w:rsidRPr="38A25E75">
        <w:rPr>
          <w:rFonts w:ascii="Calibri" w:eastAsia="Calibri" w:hAnsi="Calibri" w:cs="Calibri"/>
          <w:sz w:val="20"/>
          <w:szCs w:val="20"/>
          <w:lang w:val="es"/>
        </w:rPr>
        <w:t xml:space="preserve">la iniciativa </w:t>
      </w:r>
      <w:r w:rsidRPr="38A25E75">
        <w:rPr>
          <w:rFonts w:ascii="Calibri" w:eastAsia="Calibri" w:hAnsi="Calibri" w:cs="Calibri"/>
          <w:sz w:val="20"/>
          <w:szCs w:val="20"/>
          <w:lang w:val="es"/>
        </w:rPr>
        <w:t>no presenta novedades desde su instalación, debido a construcciones nuevas y/o aumento de vegetación cercana a los módulos solares.</w:t>
      </w:r>
    </w:p>
    <w:p w14:paraId="06F76F4A" w14:textId="176FBCC0" w:rsidR="4A6F696A" w:rsidRDefault="4A6F696A" w:rsidP="003408E6">
      <w:pPr>
        <w:pStyle w:val="Prrafodelista"/>
        <w:numPr>
          <w:ilvl w:val="0"/>
          <w:numId w:val="24"/>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Pruebas de tensión y corriente DC (inversor en funcionamiento).</w:t>
      </w:r>
    </w:p>
    <w:p w14:paraId="4B2B01F5" w14:textId="42BB7D7D" w:rsidR="4A6F696A" w:rsidRDefault="4A6F696A" w:rsidP="003408E6">
      <w:pPr>
        <w:pStyle w:val="Prrafodelista"/>
        <w:numPr>
          <w:ilvl w:val="0"/>
          <w:numId w:val="24"/>
        </w:numPr>
        <w:ind w:left="360"/>
        <w:jc w:val="both"/>
        <w:rPr>
          <w:rFonts w:ascii="Calibri" w:eastAsia="Calibri" w:hAnsi="Calibri" w:cs="Calibri"/>
          <w:sz w:val="20"/>
          <w:szCs w:val="20"/>
        </w:rPr>
      </w:pPr>
      <w:r w:rsidRPr="62C29527">
        <w:rPr>
          <w:rFonts w:ascii="Calibri" w:eastAsia="Calibri" w:hAnsi="Calibri" w:cs="Calibri"/>
          <w:sz w:val="20"/>
          <w:szCs w:val="20"/>
        </w:rPr>
        <w:t>Pruebas de tensión DC (Inversor desconectado) (Nota: Las pruebas se harán por cada uno de los string y de cada equipo inversor).</w:t>
      </w:r>
    </w:p>
    <w:p w14:paraId="717A32AB" w14:textId="1C3E1E90" w:rsidR="4A6F696A" w:rsidRDefault="4A6F696A" w:rsidP="003408E6">
      <w:pPr>
        <w:pStyle w:val="Prrafodelista"/>
        <w:numPr>
          <w:ilvl w:val="0"/>
          <w:numId w:val="24"/>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Pruebas de tensión y corriente AC (contemplar todas las fases, al igual que medición con neutro y tierra)</w:t>
      </w:r>
    </w:p>
    <w:p w14:paraId="01D5D041" w14:textId="7A12F473" w:rsidR="4A6F696A" w:rsidRDefault="4A6F696A" w:rsidP="003408E6">
      <w:pPr>
        <w:pStyle w:val="Prrafodelista"/>
        <w:numPr>
          <w:ilvl w:val="0"/>
          <w:numId w:val="24"/>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Ensayos de curvas IV. </w:t>
      </w:r>
    </w:p>
    <w:p w14:paraId="65F065FD" w14:textId="2E50E374" w:rsidR="4A6F696A" w:rsidRDefault="4A6F696A" w:rsidP="003408E6">
      <w:pPr>
        <w:pStyle w:val="Prrafodelista"/>
        <w:numPr>
          <w:ilvl w:val="0"/>
          <w:numId w:val="24"/>
        </w:numPr>
        <w:ind w:left="360"/>
        <w:jc w:val="both"/>
        <w:rPr>
          <w:rFonts w:ascii="Calibri" w:eastAsia="Calibri" w:hAnsi="Calibri" w:cs="Calibri"/>
          <w:sz w:val="20"/>
          <w:szCs w:val="20"/>
        </w:rPr>
      </w:pPr>
      <w:r w:rsidRPr="62C29527">
        <w:rPr>
          <w:rFonts w:ascii="Calibri" w:eastAsia="Calibri" w:hAnsi="Calibri" w:cs="Calibri"/>
          <w:sz w:val="20"/>
          <w:szCs w:val="20"/>
        </w:rPr>
        <w:t>Se requiere limpieza de todos los componentes, que permitan un buen funcionamiento de cada uno de los elementos.</w:t>
      </w:r>
    </w:p>
    <w:p w14:paraId="45752AE5" w14:textId="3968AC12" w:rsidR="4A6F696A" w:rsidRDefault="4A6F696A" w:rsidP="003408E6">
      <w:pPr>
        <w:pStyle w:val="Prrafodelista"/>
        <w:numPr>
          <w:ilvl w:val="0"/>
          <w:numId w:val="24"/>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Los módulos solares deben de limpiarse de acuerdo con las características y recomendaciones del fabricante.</w:t>
      </w:r>
    </w:p>
    <w:p w14:paraId="43B8B08E" w14:textId="7CE7FBA7" w:rsidR="4A6F696A" w:rsidRDefault="4A6F696A" w:rsidP="003408E6">
      <w:pPr>
        <w:pStyle w:val="Prrafodelista"/>
        <w:numPr>
          <w:ilvl w:val="0"/>
          <w:numId w:val="24"/>
        </w:numPr>
        <w:ind w:left="360"/>
        <w:jc w:val="both"/>
        <w:rPr>
          <w:rFonts w:ascii="Calibri" w:eastAsia="Calibri" w:hAnsi="Calibri" w:cs="Calibri"/>
          <w:sz w:val="20"/>
          <w:szCs w:val="20"/>
        </w:rPr>
      </w:pPr>
      <w:r w:rsidRPr="62C29527">
        <w:rPr>
          <w:rFonts w:ascii="Calibri" w:eastAsia="Calibri" w:hAnsi="Calibri" w:cs="Calibri"/>
          <w:sz w:val="20"/>
          <w:szCs w:val="20"/>
        </w:rPr>
        <w:t>Realizar prueba de tensión de circuito abierto de los paneles solares fotovoltaicos en su cadena de strings, además de la prueba de curva del sistema.</w:t>
      </w:r>
    </w:p>
    <w:p w14:paraId="7CCB45F4" w14:textId="6348488E" w:rsidR="4A6F696A" w:rsidRDefault="4A6F696A" w:rsidP="003408E6">
      <w:pPr>
        <w:pStyle w:val="Prrafodelista"/>
        <w:numPr>
          <w:ilvl w:val="0"/>
          <w:numId w:val="24"/>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Revisión de estado y funcionamiento de gabinetes, cajas eléctricas, protecciones DC y AC, conectores DC, terminales AC, acometidas eléctricas DC y AC, estructura de soporte inversores, encerramientos físicos (a inversores, tableros eléctricos, transformadores). Se harán los reemplazos necesarios que se determinen necesarios posterior a la revisión de estado y funcionamiento.</w:t>
      </w:r>
    </w:p>
    <w:p w14:paraId="309533F6" w14:textId="7280EF72" w:rsidR="4A6F696A" w:rsidRDefault="4A6F696A" w:rsidP="003408E6">
      <w:pPr>
        <w:pStyle w:val="Prrafodelista"/>
        <w:numPr>
          <w:ilvl w:val="0"/>
          <w:numId w:val="24"/>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Revisar la identificación de equipos, tableros y componentes del sistema solar, incluyendo las marquillas y/o etiquetas de los cables DC y AC, acometidas eléctricas (tubería, corazas, bandejas, entre otros), al igual que los avisos de riesgo eléctrico y demarcaciones.</w:t>
      </w:r>
    </w:p>
    <w:p w14:paraId="15970E90" w14:textId="2D41A25C" w:rsidR="4A6F696A" w:rsidRDefault="4A6F696A" w:rsidP="003408E6">
      <w:pPr>
        <w:pStyle w:val="Prrafodelista"/>
        <w:numPr>
          <w:ilvl w:val="0"/>
          <w:numId w:val="24"/>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Realizar termografías en punto de inyección, inversores, conexiones en bornes, protecciones en tableros eléctricos y módulos solares.</w:t>
      </w:r>
    </w:p>
    <w:p w14:paraId="7D2F8E64" w14:textId="5B76EC7A" w:rsidR="4A6F696A" w:rsidRDefault="4A6F696A" w:rsidP="003408E6">
      <w:pPr>
        <w:pStyle w:val="Prrafodelista"/>
        <w:numPr>
          <w:ilvl w:val="0"/>
          <w:numId w:val="24"/>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Pruebas de reconexión automática según acuerdo CNO (si aplica).</w:t>
      </w:r>
    </w:p>
    <w:p w14:paraId="41DA9DD9" w14:textId="3F77ED52" w:rsidR="4A6F696A" w:rsidRDefault="4A6F696A" w:rsidP="003408E6">
      <w:pPr>
        <w:pStyle w:val="Prrafodelista"/>
        <w:numPr>
          <w:ilvl w:val="0"/>
          <w:numId w:val="24"/>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Pruebas de continuidad y equipotencialidad de los sistemas de puesta a tierra y pruebas de continuidad para conductores en general.</w:t>
      </w:r>
    </w:p>
    <w:p w14:paraId="49E826FA" w14:textId="4FEFC09D" w:rsidR="4A6F696A" w:rsidRDefault="4A6F696A" w:rsidP="003408E6">
      <w:pPr>
        <w:pStyle w:val="Prrafodelista"/>
        <w:numPr>
          <w:ilvl w:val="0"/>
          <w:numId w:val="24"/>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Inspección de polaridad de los cableados utilizados en los sistemas.</w:t>
      </w:r>
    </w:p>
    <w:p w14:paraId="27003D0E" w14:textId="443F732D" w:rsidR="4A6F696A" w:rsidRDefault="4A6F696A" w:rsidP="003408E6">
      <w:pPr>
        <w:pStyle w:val="Prrafodelista"/>
        <w:numPr>
          <w:ilvl w:val="0"/>
          <w:numId w:val="24"/>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Pruebas de funcionamiento en la sección de control, como los interruptores de relé, disyuntores, en caso de aplicar.</w:t>
      </w:r>
    </w:p>
    <w:p w14:paraId="0966326E" w14:textId="41A518E2" w:rsidR="4A6F696A" w:rsidRDefault="4A6F696A" w:rsidP="003408E6">
      <w:pPr>
        <w:pStyle w:val="Prrafodelista"/>
        <w:numPr>
          <w:ilvl w:val="0"/>
          <w:numId w:val="24"/>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Prueba de resistencia de aislamiento para garantizar la seguridad eléctrica.</w:t>
      </w:r>
    </w:p>
    <w:p w14:paraId="3A3CE0BC" w14:textId="48DE6775" w:rsidR="4A6F696A" w:rsidRDefault="4A6F696A" w:rsidP="003408E6">
      <w:pPr>
        <w:pStyle w:val="Prrafodelista"/>
        <w:numPr>
          <w:ilvl w:val="0"/>
          <w:numId w:val="24"/>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Inspección termográfica para verificar la generación de calor de los módulos solares fotovoltaicos.</w:t>
      </w:r>
    </w:p>
    <w:p w14:paraId="20EF4B5D" w14:textId="3CCBE367" w:rsidR="4A6F696A" w:rsidRDefault="4A6F696A" w:rsidP="62C29527">
      <w:pPr>
        <w:jc w:val="both"/>
        <w:rPr>
          <w:rFonts w:ascii="Calibri" w:eastAsia="Calibri" w:hAnsi="Calibri" w:cs="Calibri"/>
          <w:color w:val="000000" w:themeColor="text1"/>
          <w:sz w:val="20"/>
          <w:szCs w:val="20"/>
          <w:lang w:val="es"/>
        </w:rPr>
      </w:pPr>
      <w:r w:rsidRPr="62C29527">
        <w:rPr>
          <w:rFonts w:ascii="Calibri" w:eastAsia="Calibri" w:hAnsi="Calibri" w:cs="Calibri"/>
          <w:color w:val="000000" w:themeColor="text1"/>
          <w:sz w:val="20"/>
          <w:szCs w:val="20"/>
          <w:lang w:val="es"/>
        </w:rPr>
        <w:t xml:space="preserve"> </w:t>
      </w:r>
    </w:p>
    <w:p w14:paraId="543EA0FB" w14:textId="69A73BA0" w:rsidR="4A6F696A" w:rsidRDefault="4A6F696A" w:rsidP="62C29527">
      <w:pPr>
        <w:pStyle w:val="Ttulo1"/>
        <w:jc w:val="both"/>
        <w:rPr>
          <w:rFonts w:ascii="Calibri" w:eastAsia="Calibri" w:hAnsi="Calibri" w:cs="Calibri"/>
          <w:lang w:val="es"/>
        </w:rPr>
      </w:pPr>
      <w:bookmarkStart w:id="12" w:name="_Toc1626619461"/>
      <w:r w:rsidRPr="6F1EDA97">
        <w:rPr>
          <w:rFonts w:ascii="Calibri" w:eastAsia="Calibri" w:hAnsi="Calibri" w:cs="Calibri"/>
          <w:lang w:val="es"/>
        </w:rPr>
        <w:t>ESPECIFICACIONES TÉCNICAS EQUIPOS</w:t>
      </w:r>
      <w:bookmarkEnd w:id="12"/>
    </w:p>
    <w:p w14:paraId="363CD046" w14:textId="31D5294B" w:rsidR="4A6F696A" w:rsidRDefault="4A6F696A" w:rsidP="62C29527">
      <w:pPr>
        <w:jc w:val="both"/>
        <w:rPr>
          <w:rFonts w:ascii="Calibri" w:eastAsia="Calibri" w:hAnsi="Calibri" w:cs="Calibri"/>
          <w:b/>
          <w:bCs/>
          <w:i/>
          <w:iCs/>
          <w:sz w:val="20"/>
          <w:szCs w:val="20"/>
          <w:lang w:val="es"/>
        </w:rPr>
      </w:pPr>
      <w:r w:rsidRPr="62C29527">
        <w:rPr>
          <w:rFonts w:ascii="Calibri" w:eastAsia="Calibri" w:hAnsi="Calibri" w:cs="Calibri"/>
          <w:b/>
          <w:bCs/>
          <w:i/>
          <w:iCs/>
          <w:sz w:val="20"/>
          <w:szCs w:val="20"/>
          <w:lang w:val="es"/>
        </w:rPr>
        <w:t xml:space="preserve"> </w:t>
      </w:r>
    </w:p>
    <w:p w14:paraId="6EE77160" w14:textId="3B875F9D" w:rsidR="4A6F696A" w:rsidRDefault="3EBBC03D" w:rsidP="3C234025">
      <w:pPr>
        <w:pStyle w:val="Ttulo2"/>
        <w:ind w:left="478"/>
        <w:jc w:val="both"/>
        <w:rPr>
          <w:rFonts w:ascii="Calibri" w:eastAsia="Calibri" w:hAnsi="Calibri" w:cs="Calibri"/>
          <w:lang w:val="es"/>
        </w:rPr>
      </w:pPr>
      <w:bookmarkStart w:id="13" w:name="_Toc556031965"/>
      <w:r w:rsidRPr="6F1EDA97">
        <w:rPr>
          <w:rFonts w:ascii="Calibri" w:eastAsia="Calibri" w:hAnsi="Calibri" w:cs="Calibri"/>
          <w:lang w:val="es"/>
        </w:rPr>
        <w:t xml:space="preserve">5.1 </w:t>
      </w:r>
      <w:r w:rsidR="4A6F696A" w:rsidRPr="6F1EDA97">
        <w:rPr>
          <w:rFonts w:ascii="Calibri" w:eastAsia="Calibri" w:hAnsi="Calibri" w:cs="Calibri"/>
          <w:lang w:val="es"/>
        </w:rPr>
        <w:t>Descripción General</w:t>
      </w:r>
      <w:bookmarkEnd w:id="13"/>
    </w:p>
    <w:p w14:paraId="5484CB91" w14:textId="173457EA"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7A60C59" w14:textId="6A020D49" w:rsidR="4A6F696A" w:rsidRDefault="4A6F696A" w:rsidP="62C29527">
      <w:pPr>
        <w:jc w:val="both"/>
        <w:rPr>
          <w:rFonts w:ascii="Calibri" w:eastAsia="Calibri" w:hAnsi="Calibri" w:cs="Calibri"/>
          <w:sz w:val="20"/>
          <w:szCs w:val="20"/>
          <w:lang w:val="es"/>
        </w:rPr>
      </w:pPr>
      <w:r w:rsidRPr="38A25E75">
        <w:rPr>
          <w:rFonts w:ascii="Calibri" w:eastAsia="Calibri" w:hAnsi="Calibri" w:cs="Calibri"/>
          <w:sz w:val="20"/>
          <w:szCs w:val="20"/>
          <w:lang w:val="es"/>
        </w:rPr>
        <w:t xml:space="preserve">Los equipos por suministrar para </w:t>
      </w:r>
      <w:r w:rsidR="6BE585DB" w:rsidRPr="38A25E75">
        <w:rPr>
          <w:rFonts w:ascii="Calibri" w:eastAsia="Calibri" w:hAnsi="Calibri" w:cs="Calibri"/>
          <w:sz w:val="20"/>
          <w:szCs w:val="20"/>
          <w:lang w:val="es"/>
        </w:rPr>
        <w:t xml:space="preserve">la iniciativa </w:t>
      </w:r>
      <w:r w:rsidRPr="38A25E75">
        <w:rPr>
          <w:rFonts w:ascii="Calibri" w:eastAsia="Calibri" w:hAnsi="Calibri" w:cs="Calibri"/>
          <w:sz w:val="20"/>
          <w:szCs w:val="20"/>
          <w:lang w:val="es"/>
        </w:rPr>
        <w:t>deberán cumplir como mínimo con:</w:t>
      </w:r>
    </w:p>
    <w:p w14:paraId="28F9CC05" w14:textId="19057DE8"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D498283" w14:textId="0FA4A551" w:rsidR="4A6F696A" w:rsidRDefault="4A6F696A" w:rsidP="003408E6">
      <w:pPr>
        <w:pStyle w:val="Prrafodelista"/>
        <w:numPr>
          <w:ilvl w:val="0"/>
          <w:numId w:val="23"/>
        </w:numPr>
        <w:jc w:val="both"/>
        <w:rPr>
          <w:rFonts w:ascii="Calibri" w:eastAsia="Calibri" w:hAnsi="Calibri" w:cs="Calibri"/>
          <w:sz w:val="20"/>
          <w:szCs w:val="20"/>
        </w:rPr>
      </w:pPr>
      <w:r w:rsidRPr="62C29527">
        <w:rPr>
          <w:rFonts w:ascii="Calibri" w:eastAsia="Calibri" w:hAnsi="Calibri" w:cs="Calibri"/>
          <w:sz w:val="20"/>
          <w:szCs w:val="20"/>
        </w:rPr>
        <w:t>Certificación de producto expedida por organismos acreditados. Si la certificación es expedida en Colombia deberá ser bajo RETIE, pero si la certificación es expedida en el extranjero deberá ser bajo una norma técnica equivalente al RETIE tal como IEC 61215.</w:t>
      </w:r>
    </w:p>
    <w:p w14:paraId="351B069F" w14:textId="7D7D5939" w:rsidR="4A6F696A" w:rsidRDefault="4A6F696A" w:rsidP="003408E6">
      <w:pPr>
        <w:pStyle w:val="Prrafodelista"/>
        <w:numPr>
          <w:ilvl w:val="0"/>
          <w:numId w:val="23"/>
        </w:numPr>
        <w:jc w:val="both"/>
        <w:rPr>
          <w:rFonts w:ascii="Calibri" w:eastAsia="Calibri" w:hAnsi="Calibri" w:cs="Calibri"/>
          <w:sz w:val="20"/>
          <w:szCs w:val="20"/>
          <w:lang w:val="es"/>
        </w:rPr>
      </w:pPr>
      <w:r w:rsidRPr="62C29527">
        <w:rPr>
          <w:rFonts w:ascii="Calibri" w:eastAsia="Calibri" w:hAnsi="Calibri" w:cs="Calibri"/>
          <w:sz w:val="20"/>
          <w:szCs w:val="20"/>
          <w:lang w:val="es"/>
        </w:rPr>
        <w:t>La selección de los equipos a utilizar en cada una de las soluciones deberá estar debidamente soportada en el diseño.</w:t>
      </w:r>
    </w:p>
    <w:p w14:paraId="709EFEF0" w14:textId="2EB18332" w:rsidR="4A6F696A" w:rsidRDefault="4A6F696A" w:rsidP="003408E6">
      <w:pPr>
        <w:pStyle w:val="Prrafodelista"/>
        <w:numPr>
          <w:ilvl w:val="0"/>
          <w:numId w:val="23"/>
        </w:numPr>
        <w:jc w:val="both"/>
        <w:rPr>
          <w:rFonts w:ascii="Calibri" w:eastAsia="Calibri" w:hAnsi="Calibri" w:cs="Calibri"/>
          <w:sz w:val="20"/>
          <w:szCs w:val="20"/>
          <w:lang w:val="es"/>
        </w:rPr>
      </w:pPr>
      <w:r w:rsidRPr="62C29527">
        <w:rPr>
          <w:rFonts w:ascii="Calibri" w:eastAsia="Calibri" w:hAnsi="Calibri" w:cs="Calibri"/>
          <w:sz w:val="20"/>
          <w:szCs w:val="20"/>
          <w:lang w:val="es"/>
        </w:rPr>
        <w:t>Las especificaciones técnicas mínimas de los equipos a suministrar se deberán soportar mediante fichas técnicas emitidas por el fabricante y acompañado del respectivo manual de operación.</w:t>
      </w:r>
    </w:p>
    <w:p w14:paraId="0D7F726F" w14:textId="09DF2DDE"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8F2202F" w14:textId="71450195"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A continuación, se presentan las especificaciones técnicas mínimas de los equipos que compongan los SSFV objeto de implementación.</w:t>
      </w:r>
    </w:p>
    <w:p w14:paraId="554D2302" w14:textId="26BBC116"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773C233" w14:textId="68B6FD16" w:rsidR="4A6F696A" w:rsidRDefault="4A6F696A" w:rsidP="3C234025">
      <w:pPr>
        <w:jc w:val="center"/>
        <w:rPr>
          <w:rFonts w:ascii="Calibri" w:eastAsia="Calibri" w:hAnsi="Calibri" w:cs="Calibri"/>
          <w:i/>
          <w:iCs/>
          <w:sz w:val="20"/>
          <w:szCs w:val="20"/>
          <w:lang w:val="es"/>
        </w:rPr>
      </w:pPr>
      <w:r w:rsidRPr="3C234025">
        <w:rPr>
          <w:rFonts w:ascii="Calibri" w:eastAsia="Calibri" w:hAnsi="Calibri" w:cs="Calibri"/>
          <w:i/>
          <w:iCs/>
          <w:sz w:val="20"/>
          <w:szCs w:val="20"/>
          <w:lang w:val="es"/>
        </w:rPr>
        <w:t xml:space="preserve"> </w:t>
      </w:r>
      <w:r w:rsidRPr="3C234025">
        <w:rPr>
          <w:rFonts w:ascii="Calibri" w:eastAsia="Calibri" w:hAnsi="Calibri" w:cs="Calibri"/>
          <w:i/>
          <w:iCs/>
          <w:sz w:val="20"/>
          <w:szCs w:val="20"/>
        </w:rPr>
        <w:t xml:space="preserve">Tabla </w:t>
      </w:r>
      <w:r w:rsidR="7544E23B" w:rsidRPr="3C234025">
        <w:rPr>
          <w:rFonts w:ascii="Calibri" w:eastAsia="Calibri" w:hAnsi="Calibri" w:cs="Calibri"/>
          <w:i/>
          <w:iCs/>
          <w:sz w:val="20"/>
          <w:szCs w:val="20"/>
        </w:rPr>
        <w:t>6</w:t>
      </w:r>
      <w:r w:rsidRPr="3C234025">
        <w:rPr>
          <w:rFonts w:ascii="Calibri" w:eastAsia="Calibri" w:hAnsi="Calibri" w:cs="Calibri"/>
          <w:i/>
          <w:iCs/>
          <w:sz w:val="20"/>
          <w:szCs w:val="20"/>
        </w:rPr>
        <w:t xml:space="preserve">. </w:t>
      </w:r>
      <w:r w:rsidRPr="3C234025">
        <w:rPr>
          <w:rFonts w:ascii="Calibri" w:eastAsia="Calibri" w:hAnsi="Calibri" w:cs="Calibri"/>
          <w:i/>
          <w:iCs/>
          <w:sz w:val="20"/>
          <w:szCs w:val="20"/>
          <w:lang w:val="es"/>
        </w:rPr>
        <w:t xml:space="preserve">Especificaciones técnicas mínimas SSFV </w:t>
      </w:r>
    </w:p>
    <w:tbl>
      <w:tblPr>
        <w:tblW w:w="0" w:type="auto"/>
        <w:tblInd w:w="135" w:type="dxa"/>
        <w:tblLook w:val="04A0" w:firstRow="1" w:lastRow="0" w:firstColumn="1" w:lastColumn="0" w:noHBand="0" w:noVBand="1"/>
      </w:tblPr>
      <w:tblGrid>
        <w:gridCol w:w="1629"/>
        <w:gridCol w:w="7973"/>
      </w:tblGrid>
      <w:tr w:rsidR="62C29527" w14:paraId="13DD1E8E" w14:textId="77777777" w:rsidTr="62C29527">
        <w:trPr>
          <w:trHeight w:val="270"/>
        </w:trPr>
        <w:tc>
          <w:tcPr>
            <w:tcW w:w="16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1F5F"/>
            <w:tcMar>
              <w:left w:w="113" w:type="dxa"/>
              <w:right w:w="113" w:type="dxa"/>
            </w:tcMar>
          </w:tcPr>
          <w:p w14:paraId="5B153323" w14:textId="071EE19B" w:rsidR="62C29527" w:rsidRDefault="62C29527" w:rsidP="62C29527">
            <w:pPr>
              <w:jc w:val="center"/>
              <w:rPr>
                <w:rFonts w:ascii="Calibri" w:eastAsia="Calibri" w:hAnsi="Calibri" w:cs="Calibri"/>
                <w:b/>
                <w:bCs/>
                <w:color w:val="FFFFFF" w:themeColor="background1"/>
                <w:sz w:val="20"/>
                <w:szCs w:val="20"/>
                <w:lang w:val="es"/>
              </w:rPr>
            </w:pPr>
            <w:r w:rsidRPr="62C29527">
              <w:rPr>
                <w:rFonts w:ascii="Calibri" w:eastAsia="Calibri" w:hAnsi="Calibri" w:cs="Calibri"/>
                <w:b/>
                <w:bCs/>
                <w:color w:val="FFFFFF" w:themeColor="background1"/>
                <w:sz w:val="20"/>
                <w:szCs w:val="20"/>
                <w:lang w:val="es"/>
              </w:rPr>
              <w:t>EQUIPOS</w:t>
            </w:r>
          </w:p>
        </w:tc>
        <w:tc>
          <w:tcPr>
            <w:tcW w:w="81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1F5F"/>
            <w:tcMar>
              <w:left w:w="113" w:type="dxa"/>
              <w:right w:w="113" w:type="dxa"/>
            </w:tcMar>
          </w:tcPr>
          <w:p w14:paraId="039AA16F" w14:textId="4AE50334" w:rsidR="62C29527" w:rsidRDefault="62C29527" w:rsidP="62C29527">
            <w:pPr>
              <w:jc w:val="center"/>
              <w:rPr>
                <w:rFonts w:ascii="Calibri" w:eastAsia="Calibri" w:hAnsi="Calibri" w:cs="Calibri"/>
                <w:b/>
                <w:bCs/>
                <w:color w:val="FFFFFF" w:themeColor="background1"/>
                <w:sz w:val="20"/>
                <w:szCs w:val="20"/>
                <w:lang w:val="es"/>
              </w:rPr>
            </w:pPr>
            <w:r w:rsidRPr="62C29527">
              <w:rPr>
                <w:rFonts w:ascii="Calibri" w:eastAsia="Calibri" w:hAnsi="Calibri" w:cs="Calibri"/>
                <w:b/>
                <w:bCs/>
                <w:color w:val="FFFFFF" w:themeColor="background1"/>
                <w:sz w:val="20"/>
                <w:szCs w:val="20"/>
                <w:lang w:val="es"/>
              </w:rPr>
              <w:t>SISTEMA SOLAR FOTOVOLTAICO - SSFV</w:t>
            </w:r>
          </w:p>
        </w:tc>
      </w:tr>
      <w:tr w:rsidR="62C29527" w14:paraId="7F0E80FC" w14:textId="77777777" w:rsidTr="62C29527">
        <w:trPr>
          <w:trHeight w:val="975"/>
        </w:trPr>
        <w:tc>
          <w:tcPr>
            <w:tcW w:w="16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13" w:type="dxa"/>
              <w:right w:w="113" w:type="dxa"/>
            </w:tcMar>
            <w:vAlign w:val="center"/>
          </w:tcPr>
          <w:p w14:paraId="36D5C049" w14:textId="0E20BF81"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Módulos Solares</w:t>
            </w:r>
          </w:p>
        </w:tc>
        <w:tc>
          <w:tcPr>
            <w:tcW w:w="81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13" w:type="dxa"/>
              <w:right w:w="113" w:type="dxa"/>
            </w:tcMar>
          </w:tcPr>
          <w:p w14:paraId="06F9F2B5" w14:textId="7632EE21" w:rsidR="62C29527" w:rsidRDefault="62C29527" w:rsidP="62C29527">
            <w:pPr>
              <w:tabs>
                <w:tab w:val="left" w:pos="727"/>
              </w:tabs>
              <w:jc w:val="both"/>
              <w:rPr>
                <w:rFonts w:ascii="Calibri" w:eastAsia="Calibri" w:hAnsi="Calibri" w:cs="Calibri"/>
                <w:sz w:val="20"/>
                <w:szCs w:val="20"/>
                <w:lang w:val="es"/>
              </w:rPr>
            </w:pPr>
            <w:r w:rsidRPr="62C29527">
              <w:rPr>
                <w:rFonts w:ascii="Calibri" w:eastAsia="Calibri" w:hAnsi="Calibri" w:cs="Calibri"/>
                <w:sz w:val="20"/>
                <w:szCs w:val="20"/>
                <w:lang w:val="es"/>
              </w:rPr>
              <w:t>Los módulos deben contar con excelente rendimiento en condiciones con poca radiación solar, alta durabilidad, que posean parámetros eléctricos (corriente y tensión) óptimos que propicien adecuadas configuraciones, para alcanzar la generación máxima sin exceder los parámetros eléctricos requeridos por el inversor a seleccionar.</w:t>
            </w:r>
          </w:p>
          <w:p w14:paraId="440CE111" w14:textId="1F5A79F8" w:rsidR="62C29527" w:rsidRDefault="62C29527" w:rsidP="62C29527">
            <w:pPr>
              <w:tabs>
                <w:tab w:val="left" w:pos="727"/>
              </w:tabs>
              <w:jc w:val="both"/>
              <w:rPr>
                <w:rFonts w:ascii="Calibri" w:eastAsia="Calibri" w:hAnsi="Calibri" w:cs="Calibri"/>
                <w:sz w:val="20"/>
                <w:szCs w:val="20"/>
              </w:rPr>
            </w:pPr>
            <w:r w:rsidRPr="62C29527">
              <w:rPr>
                <w:rFonts w:ascii="Calibri" w:eastAsia="Calibri" w:hAnsi="Calibri" w:cs="Calibri"/>
                <w:sz w:val="20"/>
                <w:szCs w:val="20"/>
              </w:rPr>
              <w:t>Silicio Monocristalino o CdTe.</w:t>
            </w:r>
          </w:p>
          <w:p w14:paraId="3C6A1CF6" w14:textId="3C2C15AA" w:rsidR="62C29527" w:rsidRDefault="62C29527" w:rsidP="62C29527">
            <w:pPr>
              <w:tabs>
                <w:tab w:val="left" w:pos="727"/>
              </w:tabs>
              <w:jc w:val="both"/>
              <w:rPr>
                <w:rFonts w:ascii="Calibri" w:eastAsia="Calibri" w:hAnsi="Calibri" w:cs="Calibri"/>
                <w:sz w:val="20"/>
                <w:szCs w:val="20"/>
              </w:rPr>
            </w:pPr>
            <w:r w:rsidRPr="62C29527">
              <w:rPr>
                <w:rFonts w:ascii="Calibri" w:eastAsia="Calibri" w:hAnsi="Calibri" w:cs="Calibri"/>
                <w:sz w:val="20"/>
                <w:szCs w:val="20"/>
              </w:rPr>
              <w:t>Potencia mínima: 600 Wp.</w:t>
            </w:r>
          </w:p>
          <w:p w14:paraId="0B268DD0" w14:textId="5F132DB0" w:rsidR="62C29527" w:rsidRDefault="62C29527" w:rsidP="62C29527">
            <w:pPr>
              <w:tabs>
                <w:tab w:val="left" w:pos="727"/>
              </w:tabs>
              <w:jc w:val="both"/>
              <w:rPr>
                <w:rFonts w:ascii="Calibri" w:eastAsia="Calibri" w:hAnsi="Calibri" w:cs="Calibri"/>
                <w:sz w:val="20"/>
                <w:szCs w:val="20"/>
                <w:lang w:val="es"/>
              </w:rPr>
            </w:pPr>
            <w:r w:rsidRPr="62C29527">
              <w:rPr>
                <w:rFonts w:ascii="Calibri" w:eastAsia="Calibri" w:hAnsi="Calibri" w:cs="Calibri"/>
                <w:sz w:val="20"/>
                <w:szCs w:val="20"/>
                <w:lang w:val="es"/>
              </w:rPr>
              <w:t>Tolerancia positiva: La tolerancia de potencia indica la variación permitida en la potencia nominal del panel. Busca paneles con una baja tolerancia (por ejemplo, +/- 3 %) para garantizar un rendimiento más consistente.</w:t>
            </w:r>
          </w:p>
          <w:p w14:paraId="426078E0" w14:textId="503156FC"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Garantía de fabricante de al menos 10 años y garantía de rendimiento mínima del 90 % y mínima del 80 % a 25 años.</w:t>
            </w:r>
          </w:p>
          <w:p w14:paraId="21F012DE" w14:textId="1474810B"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Eficiencia mínima del 20 %.</w:t>
            </w:r>
          </w:p>
          <w:p w14:paraId="4EA75A0C" w14:textId="0FF6108B"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Temperatura de operación -40°C - +85°C.</w:t>
            </w:r>
          </w:p>
          <w:p w14:paraId="42659615" w14:textId="662F5572"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Tensión máxima del sistema (IEC) (V): 1500.</w:t>
            </w:r>
          </w:p>
          <w:p w14:paraId="4C2686A1" w14:textId="7D77F5D8"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Valor máximo de fusible (A): &gt; 25.</w:t>
            </w:r>
          </w:p>
          <w:p w14:paraId="335C2EE4" w14:textId="4C29FF8A"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Conector: MC4.</w:t>
            </w:r>
          </w:p>
          <w:p w14:paraId="6B3DEA69" w14:textId="56FFBAD2"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Certificaciones:</w:t>
            </w:r>
          </w:p>
          <w:p w14:paraId="31489AEC" w14:textId="7B17AF30" w:rsidR="62C29527" w:rsidRDefault="62C29527" w:rsidP="003408E6">
            <w:pPr>
              <w:pStyle w:val="Prrafodelista"/>
              <w:numPr>
                <w:ilvl w:val="1"/>
                <w:numId w:val="22"/>
              </w:numPr>
              <w:ind w:left="1095" w:hanging="361"/>
              <w:rPr>
                <w:rFonts w:ascii="Calibri" w:eastAsia="Calibri" w:hAnsi="Calibri" w:cs="Calibri"/>
                <w:sz w:val="20"/>
                <w:szCs w:val="20"/>
                <w:lang w:val="es"/>
              </w:rPr>
            </w:pPr>
            <w:r w:rsidRPr="62C29527">
              <w:rPr>
                <w:rFonts w:ascii="Calibri" w:eastAsia="Calibri" w:hAnsi="Calibri" w:cs="Calibri"/>
                <w:sz w:val="20"/>
                <w:szCs w:val="20"/>
                <w:lang w:val="es"/>
              </w:rPr>
              <w:t>IEC 61215, IEC 61730, IEC 61701, IEC 62716.</w:t>
            </w:r>
          </w:p>
          <w:p w14:paraId="45CCCADB" w14:textId="04989802" w:rsidR="62C29527" w:rsidRDefault="62C29527" w:rsidP="003408E6">
            <w:pPr>
              <w:pStyle w:val="Prrafodelista"/>
              <w:numPr>
                <w:ilvl w:val="1"/>
                <w:numId w:val="22"/>
              </w:numPr>
              <w:ind w:left="1095" w:hanging="361"/>
              <w:rPr>
                <w:rFonts w:ascii="Calibri" w:eastAsia="Calibri" w:hAnsi="Calibri" w:cs="Calibri"/>
                <w:sz w:val="20"/>
                <w:szCs w:val="20"/>
                <w:lang w:val="es"/>
              </w:rPr>
            </w:pPr>
            <w:r w:rsidRPr="62C29527">
              <w:rPr>
                <w:rFonts w:ascii="Calibri" w:eastAsia="Calibri" w:hAnsi="Calibri" w:cs="Calibri"/>
                <w:sz w:val="20"/>
                <w:szCs w:val="20"/>
                <w:lang w:val="es"/>
              </w:rPr>
              <w:t>ISO 9001: 2015.</w:t>
            </w:r>
          </w:p>
          <w:p w14:paraId="72F426A2" w14:textId="569072A3" w:rsidR="62C29527" w:rsidRDefault="62C29527" w:rsidP="003408E6">
            <w:pPr>
              <w:pStyle w:val="Prrafodelista"/>
              <w:numPr>
                <w:ilvl w:val="1"/>
                <w:numId w:val="22"/>
              </w:numPr>
              <w:ind w:left="1095" w:hanging="361"/>
              <w:rPr>
                <w:rFonts w:ascii="Calibri" w:eastAsia="Calibri" w:hAnsi="Calibri" w:cs="Calibri"/>
                <w:sz w:val="20"/>
                <w:szCs w:val="20"/>
                <w:lang w:val="es"/>
              </w:rPr>
            </w:pPr>
            <w:r w:rsidRPr="62C29527">
              <w:rPr>
                <w:rFonts w:ascii="Calibri" w:eastAsia="Calibri" w:hAnsi="Calibri" w:cs="Calibri"/>
                <w:sz w:val="20"/>
                <w:szCs w:val="20"/>
                <w:lang w:val="es"/>
              </w:rPr>
              <w:t>ISO 14001: 2015.</w:t>
            </w:r>
          </w:p>
          <w:p w14:paraId="15056CFD" w14:textId="34225700" w:rsidR="62C29527" w:rsidRDefault="62C29527" w:rsidP="003408E6">
            <w:pPr>
              <w:pStyle w:val="Prrafodelista"/>
              <w:numPr>
                <w:ilvl w:val="1"/>
                <w:numId w:val="22"/>
              </w:numPr>
              <w:ind w:left="1095" w:hanging="361"/>
              <w:rPr>
                <w:rFonts w:ascii="Calibri" w:eastAsia="Calibri" w:hAnsi="Calibri" w:cs="Calibri"/>
                <w:sz w:val="20"/>
                <w:szCs w:val="20"/>
                <w:lang w:val="es"/>
              </w:rPr>
            </w:pPr>
            <w:r w:rsidRPr="62C29527">
              <w:rPr>
                <w:rFonts w:ascii="Calibri" w:eastAsia="Calibri" w:hAnsi="Calibri" w:cs="Calibri"/>
                <w:sz w:val="20"/>
                <w:szCs w:val="20"/>
                <w:lang w:val="es"/>
              </w:rPr>
              <w:t>ISO 45001: 2018.</w:t>
            </w:r>
          </w:p>
          <w:p w14:paraId="16450B92" w14:textId="4D2F67E3" w:rsidR="62C29527" w:rsidRDefault="62C29527" w:rsidP="003408E6">
            <w:pPr>
              <w:pStyle w:val="Prrafodelista"/>
              <w:numPr>
                <w:ilvl w:val="1"/>
                <w:numId w:val="22"/>
              </w:numPr>
              <w:ind w:left="1095" w:hanging="361"/>
              <w:rPr>
                <w:rFonts w:ascii="Calibri" w:eastAsia="Calibri" w:hAnsi="Calibri" w:cs="Calibri"/>
                <w:sz w:val="20"/>
                <w:szCs w:val="20"/>
                <w:lang w:val="es"/>
              </w:rPr>
            </w:pPr>
            <w:r w:rsidRPr="62C29527">
              <w:rPr>
                <w:rFonts w:ascii="Calibri" w:eastAsia="Calibri" w:hAnsi="Calibri" w:cs="Calibri"/>
                <w:sz w:val="20"/>
                <w:szCs w:val="20"/>
                <w:lang w:val="es"/>
              </w:rPr>
              <w:t>TS62941, UL 61730.</w:t>
            </w:r>
          </w:p>
          <w:p w14:paraId="66361072" w14:textId="6159860C"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Conformidad de producto RETIE.</w:t>
            </w:r>
          </w:p>
        </w:tc>
      </w:tr>
      <w:tr w:rsidR="62C29527" w14:paraId="42D83150" w14:textId="77777777" w:rsidTr="62C29527">
        <w:trPr>
          <w:trHeight w:val="300"/>
        </w:trPr>
        <w:tc>
          <w:tcPr>
            <w:tcW w:w="16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13" w:type="dxa"/>
              <w:right w:w="113" w:type="dxa"/>
            </w:tcMar>
            <w:vAlign w:val="center"/>
          </w:tcPr>
          <w:p w14:paraId="13AFAF74" w14:textId="337511A7"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222A936B" w14:textId="025BEBC5"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C4456F4" w14:textId="37BDC759"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505334B" w14:textId="0901DCEE"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6F8CDFE0" w14:textId="45A6C318"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2687E645" w14:textId="26C918B4"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86D171E" w14:textId="0C29D59B"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2895897" w14:textId="4D34CA48"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B84598B" w14:textId="3B709D70"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2996CCF2" w14:textId="3CBD8B51"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EC98C43" w14:textId="22B8FC67"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FE679B5" w14:textId="0EFF2022"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DC3463D" w14:textId="5619A02F"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Inversor</w:t>
            </w:r>
          </w:p>
        </w:tc>
        <w:tc>
          <w:tcPr>
            <w:tcW w:w="81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13" w:type="dxa"/>
              <w:right w:w="113" w:type="dxa"/>
            </w:tcMar>
          </w:tcPr>
          <w:p w14:paraId="593178DC" w14:textId="1073EA54" w:rsidR="62C29527" w:rsidRDefault="62C29527" w:rsidP="003408E6">
            <w:pPr>
              <w:pStyle w:val="Prrafodelista"/>
              <w:numPr>
                <w:ilvl w:val="0"/>
                <w:numId w:val="22"/>
              </w:numPr>
              <w:ind w:left="361" w:hanging="361"/>
              <w:rPr>
                <w:rFonts w:ascii="Calibri" w:eastAsia="Calibri" w:hAnsi="Calibri" w:cs="Calibri"/>
                <w:sz w:val="20"/>
                <w:szCs w:val="20"/>
              </w:rPr>
            </w:pPr>
            <w:r w:rsidRPr="62C29527">
              <w:rPr>
                <w:rFonts w:ascii="Calibri" w:eastAsia="Calibri" w:hAnsi="Calibri" w:cs="Calibri"/>
                <w:sz w:val="20"/>
                <w:szCs w:val="20"/>
              </w:rPr>
              <w:t>Tipo: On-Grid.</w:t>
            </w:r>
          </w:p>
          <w:p w14:paraId="2F230C6F" w14:textId="2A25DE5C"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Rango de Potencia total AC nominal de salida (VA): según diseño.</w:t>
            </w:r>
          </w:p>
          <w:p w14:paraId="2913DEEB" w14:textId="53DB4B97"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Tensión nominal de salida / Intervalo (V): según diseño.</w:t>
            </w:r>
          </w:p>
          <w:p w14:paraId="57D7CCDD" w14:textId="10EB2DF1"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Frecuencia nominal / Intervalo (Hz): 60 / (55-65).</w:t>
            </w:r>
          </w:p>
          <w:p w14:paraId="0702F0E5" w14:textId="5AF3ADD6"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Cantidad mínima MPPT: 2.</w:t>
            </w:r>
          </w:p>
          <w:p w14:paraId="0F22711C" w14:textId="51118D55"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Eficiencia ≥ 96 %.</w:t>
            </w:r>
          </w:p>
          <w:p w14:paraId="2E75F3C6" w14:textId="05B790F3"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Distorsión armónica total (THD): &lt;3 %.</w:t>
            </w:r>
          </w:p>
          <w:p w14:paraId="3AE04C5C" w14:textId="783F2CF7"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Factor de potencia ≥ 0,99.</w:t>
            </w:r>
          </w:p>
          <w:p w14:paraId="22070C8B" w14:textId="36A49ACC"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Rango temperatura ambiente (°C): -40°C a +65°C.</w:t>
            </w:r>
          </w:p>
          <w:p w14:paraId="625C90D2" w14:textId="4B25A194" w:rsidR="62C29527" w:rsidRDefault="62C29527" w:rsidP="003408E6">
            <w:pPr>
              <w:pStyle w:val="Prrafodelista"/>
              <w:numPr>
                <w:ilvl w:val="0"/>
                <w:numId w:val="21"/>
              </w:numPr>
              <w:ind w:left="726"/>
              <w:rPr>
                <w:rFonts w:ascii="Calibri" w:eastAsia="Calibri" w:hAnsi="Calibri" w:cs="Calibri"/>
                <w:sz w:val="20"/>
                <w:szCs w:val="20"/>
              </w:rPr>
            </w:pPr>
            <w:r w:rsidRPr="62C29527">
              <w:rPr>
                <w:rFonts w:ascii="Calibri" w:eastAsia="Calibri" w:hAnsi="Calibri" w:cs="Calibri"/>
                <w:sz w:val="20"/>
                <w:szCs w:val="20"/>
              </w:rPr>
              <w:t>El inversor debe ofrecer opciones de monitoreo remoto incluir su respectivo módulo de comunicación para poder efectuar el monitoreo. El inversor debería contar con interfaces de comunicación estándar como RS485, Ethernet o WiFi para facilitar la integración con sistemas de monitoreo y control.</w:t>
            </w:r>
          </w:p>
          <w:p w14:paraId="1763268D" w14:textId="3A68555E"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Garantía mínima de 5 años, con garantía extendida a 10 años.</w:t>
            </w:r>
          </w:p>
          <w:p w14:paraId="65F40381" w14:textId="60F223D0" w:rsidR="62C29527" w:rsidRDefault="62C29527" w:rsidP="003408E6">
            <w:pPr>
              <w:pStyle w:val="Prrafodelista"/>
              <w:numPr>
                <w:ilvl w:val="0"/>
                <w:numId w:val="22"/>
              </w:numPr>
              <w:ind w:left="361" w:hanging="361"/>
              <w:rPr>
                <w:rFonts w:ascii="Calibri" w:eastAsia="Calibri" w:hAnsi="Calibri" w:cs="Calibri"/>
                <w:sz w:val="20"/>
                <w:szCs w:val="20"/>
              </w:rPr>
            </w:pPr>
            <w:r w:rsidRPr="62C29527">
              <w:rPr>
                <w:rFonts w:ascii="Calibri" w:eastAsia="Calibri" w:hAnsi="Calibri" w:cs="Calibri"/>
                <w:sz w:val="20"/>
                <w:szCs w:val="20"/>
              </w:rPr>
              <w:t>Grado de protección IP en función de la ubicación de los inversores (Outdoor (min IP 54) / lndoor (min IP 20) o su equivalente NEMA.</w:t>
            </w:r>
          </w:p>
          <w:p w14:paraId="3E445E34" w14:textId="6C721832"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La relación de potencias DC/AC deberá ser mayor a 0,8 y cercano 1,25.</w:t>
            </w:r>
          </w:p>
          <w:p w14:paraId="72FF7FCE" w14:textId="08330DE0" w:rsidR="62C29527" w:rsidRDefault="62C29527" w:rsidP="003408E6">
            <w:pPr>
              <w:pStyle w:val="Prrafodelista"/>
              <w:numPr>
                <w:ilvl w:val="0"/>
                <w:numId w:val="22"/>
              </w:numPr>
              <w:ind w:left="361" w:hanging="361"/>
              <w:rPr>
                <w:rFonts w:ascii="Calibri" w:eastAsia="Calibri" w:hAnsi="Calibri" w:cs="Calibri"/>
                <w:sz w:val="20"/>
                <w:szCs w:val="20"/>
                <w:lang w:val="es"/>
              </w:rPr>
            </w:pPr>
            <w:r w:rsidRPr="62C29527">
              <w:rPr>
                <w:rFonts w:ascii="Calibri" w:eastAsia="Calibri" w:hAnsi="Calibri" w:cs="Calibri"/>
                <w:sz w:val="20"/>
                <w:szCs w:val="20"/>
                <w:lang w:val="es"/>
              </w:rPr>
              <w:t>Acceso a repuestos y soporte técnico en Colombia.</w:t>
            </w:r>
          </w:p>
        </w:tc>
      </w:tr>
      <w:tr w:rsidR="62C29527" w14:paraId="22F0C14F" w14:textId="77777777" w:rsidTr="62C29527">
        <w:trPr>
          <w:trHeight w:val="975"/>
        </w:trPr>
        <w:tc>
          <w:tcPr>
            <w:tcW w:w="16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13" w:type="dxa"/>
              <w:right w:w="113" w:type="dxa"/>
            </w:tcMar>
          </w:tcPr>
          <w:p w14:paraId="42E4A17E" w14:textId="187663AF"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77D8C7D" w14:textId="1580588F"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6F4183AA" w14:textId="20A4EB90"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FA42C63" w14:textId="7423FC70"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Dispositivo de comunicación y monitoreo</w:t>
            </w:r>
          </w:p>
        </w:tc>
        <w:tc>
          <w:tcPr>
            <w:tcW w:w="81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13" w:type="dxa"/>
              <w:right w:w="113" w:type="dxa"/>
            </w:tcMar>
          </w:tcPr>
          <w:p w14:paraId="460B4118" w14:textId="323773F2" w:rsidR="62C29527" w:rsidRDefault="62C29527" w:rsidP="003408E6">
            <w:pPr>
              <w:pStyle w:val="Prrafodelista"/>
              <w:numPr>
                <w:ilvl w:val="0"/>
                <w:numId w:val="20"/>
              </w:numPr>
              <w:rPr>
                <w:rFonts w:ascii="Calibri" w:eastAsia="Calibri" w:hAnsi="Calibri" w:cs="Calibri"/>
                <w:sz w:val="20"/>
                <w:szCs w:val="20"/>
              </w:rPr>
            </w:pPr>
            <w:r w:rsidRPr="62C29527">
              <w:rPr>
                <w:rFonts w:ascii="Calibri" w:eastAsia="Calibri" w:hAnsi="Calibri" w:cs="Calibri"/>
                <w:sz w:val="20"/>
                <w:szCs w:val="20"/>
              </w:rPr>
              <w:t>Tipo de comunicación: Wireless networking, 802.11b/g/n.</w:t>
            </w:r>
          </w:p>
          <w:p w14:paraId="218E197A" w14:textId="2E51A021" w:rsidR="62C29527" w:rsidRDefault="62C29527" w:rsidP="003408E6">
            <w:pPr>
              <w:pStyle w:val="Prrafodelista"/>
              <w:numPr>
                <w:ilvl w:val="0"/>
                <w:numId w:val="20"/>
              </w:numPr>
              <w:rPr>
                <w:rFonts w:ascii="Calibri" w:eastAsia="Calibri" w:hAnsi="Calibri" w:cs="Calibri"/>
                <w:sz w:val="20"/>
                <w:szCs w:val="20"/>
              </w:rPr>
            </w:pPr>
            <w:r w:rsidRPr="62C29527">
              <w:rPr>
                <w:rFonts w:ascii="Calibri" w:eastAsia="Calibri" w:hAnsi="Calibri" w:cs="Calibri"/>
                <w:sz w:val="20"/>
                <w:szCs w:val="20"/>
              </w:rPr>
              <w:t>Deberá contar con una aplicación de monitoreo para usuario Smart Logger.</w:t>
            </w:r>
          </w:p>
          <w:p w14:paraId="56733433" w14:textId="23D90FB1" w:rsidR="62C29527" w:rsidRDefault="62C29527" w:rsidP="003408E6">
            <w:pPr>
              <w:pStyle w:val="Prrafodelista"/>
              <w:numPr>
                <w:ilvl w:val="0"/>
                <w:numId w:val="20"/>
              </w:numPr>
              <w:rPr>
                <w:rFonts w:ascii="Calibri" w:eastAsia="Calibri" w:hAnsi="Calibri" w:cs="Calibri"/>
                <w:sz w:val="20"/>
                <w:szCs w:val="20"/>
                <w:lang w:val="es"/>
              </w:rPr>
            </w:pPr>
            <w:r w:rsidRPr="62C29527">
              <w:rPr>
                <w:rFonts w:ascii="Calibri" w:eastAsia="Calibri" w:hAnsi="Calibri" w:cs="Calibri"/>
                <w:sz w:val="20"/>
                <w:szCs w:val="20"/>
                <w:lang w:val="es"/>
              </w:rPr>
              <w:t>Temperatura operación: -20°C a 55°C.</w:t>
            </w:r>
          </w:p>
          <w:p w14:paraId="44E735EF" w14:textId="59BA460C" w:rsidR="62C29527" w:rsidRDefault="62C29527" w:rsidP="003408E6">
            <w:pPr>
              <w:pStyle w:val="Prrafodelista"/>
              <w:numPr>
                <w:ilvl w:val="0"/>
                <w:numId w:val="20"/>
              </w:numPr>
              <w:rPr>
                <w:rFonts w:ascii="Calibri" w:eastAsia="Calibri" w:hAnsi="Calibri" w:cs="Calibri"/>
                <w:sz w:val="20"/>
                <w:szCs w:val="20"/>
                <w:lang w:val="es"/>
              </w:rPr>
            </w:pPr>
            <w:r w:rsidRPr="62C29527">
              <w:rPr>
                <w:rFonts w:ascii="Calibri" w:eastAsia="Calibri" w:hAnsi="Calibri" w:cs="Calibri"/>
                <w:sz w:val="20"/>
                <w:szCs w:val="20"/>
                <w:lang w:val="es"/>
              </w:rPr>
              <w:t>Calificación ambiental: Interior –IP20.</w:t>
            </w:r>
          </w:p>
          <w:p w14:paraId="03175310" w14:textId="28C35EC2" w:rsidR="62C29527" w:rsidRDefault="62C29527" w:rsidP="003408E6">
            <w:pPr>
              <w:pStyle w:val="Prrafodelista"/>
              <w:numPr>
                <w:ilvl w:val="0"/>
                <w:numId w:val="20"/>
              </w:numPr>
              <w:rPr>
                <w:rFonts w:ascii="Calibri" w:eastAsia="Calibri" w:hAnsi="Calibri" w:cs="Calibri"/>
                <w:sz w:val="20"/>
                <w:szCs w:val="20"/>
              </w:rPr>
            </w:pPr>
            <w:r w:rsidRPr="62C29527">
              <w:rPr>
                <w:rFonts w:ascii="Calibri" w:eastAsia="Calibri" w:hAnsi="Calibri" w:cs="Calibri"/>
                <w:sz w:val="20"/>
                <w:szCs w:val="20"/>
              </w:rPr>
              <w:t>Tensión de entrada / frecuencia: 100 a 240 Vac / 50 o 60 Hz.</w:t>
            </w:r>
          </w:p>
          <w:p w14:paraId="4F26CE1F" w14:textId="3CF612DD" w:rsidR="62C29527" w:rsidRDefault="62C29527" w:rsidP="003408E6">
            <w:pPr>
              <w:pStyle w:val="Prrafodelista"/>
              <w:numPr>
                <w:ilvl w:val="0"/>
                <w:numId w:val="20"/>
              </w:numPr>
              <w:rPr>
                <w:rFonts w:ascii="Calibri" w:eastAsia="Calibri" w:hAnsi="Calibri" w:cs="Calibri"/>
                <w:sz w:val="20"/>
                <w:szCs w:val="20"/>
                <w:lang w:val="es"/>
              </w:rPr>
            </w:pPr>
            <w:r w:rsidRPr="62C29527">
              <w:rPr>
                <w:rFonts w:ascii="Calibri" w:eastAsia="Calibri" w:hAnsi="Calibri" w:cs="Calibri"/>
                <w:sz w:val="20"/>
                <w:szCs w:val="20"/>
                <w:lang w:val="es"/>
              </w:rPr>
              <w:t>Estado en tiempo real y alarma del inversor.</w:t>
            </w:r>
          </w:p>
          <w:p w14:paraId="3A5FC622" w14:textId="0D31D377" w:rsidR="62C29527" w:rsidRDefault="62C29527" w:rsidP="003408E6">
            <w:pPr>
              <w:pStyle w:val="Prrafodelista"/>
              <w:numPr>
                <w:ilvl w:val="0"/>
                <w:numId w:val="20"/>
              </w:numPr>
              <w:rPr>
                <w:rFonts w:ascii="Calibri" w:eastAsia="Calibri" w:hAnsi="Calibri" w:cs="Calibri"/>
                <w:sz w:val="20"/>
                <w:szCs w:val="20"/>
                <w:lang w:val="es"/>
              </w:rPr>
            </w:pPr>
            <w:r w:rsidRPr="62C29527">
              <w:rPr>
                <w:rFonts w:ascii="Calibri" w:eastAsia="Calibri" w:hAnsi="Calibri" w:cs="Calibri"/>
                <w:sz w:val="20"/>
                <w:szCs w:val="20"/>
                <w:lang w:val="es"/>
              </w:rPr>
              <w:t>Actualización de firmware localmente.</w:t>
            </w:r>
          </w:p>
          <w:p w14:paraId="440C95FB" w14:textId="3C8F6889" w:rsidR="62C29527" w:rsidRDefault="62C29527" w:rsidP="003408E6">
            <w:pPr>
              <w:pStyle w:val="Prrafodelista"/>
              <w:numPr>
                <w:ilvl w:val="0"/>
                <w:numId w:val="20"/>
              </w:numPr>
              <w:rPr>
                <w:rFonts w:ascii="Calibri" w:eastAsia="Calibri" w:hAnsi="Calibri" w:cs="Calibri"/>
                <w:sz w:val="20"/>
                <w:szCs w:val="20"/>
                <w:lang w:val="es"/>
              </w:rPr>
            </w:pPr>
            <w:r w:rsidRPr="62C29527">
              <w:rPr>
                <w:rFonts w:ascii="Calibri" w:eastAsia="Calibri" w:hAnsi="Calibri" w:cs="Calibri"/>
                <w:sz w:val="20"/>
                <w:szCs w:val="20"/>
                <w:lang w:val="es"/>
              </w:rPr>
              <w:t>Certificaciones:</w:t>
            </w:r>
          </w:p>
          <w:p w14:paraId="279D30EF" w14:textId="184F7684" w:rsidR="62C29527" w:rsidRDefault="62C29527" w:rsidP="003408E6">
            <w:pPr>
              <w:pStyle w:val="Prrafodelista"/>
              <w:numPr>
                <w:ilvl w:val="0"/>
                <w:numId w:val="22"/>
              </w:numPr>
              <w:rPr>
                <w:rFonts w:ascii="Calibri" w:eastAsia="Calibri" w:hAnsi="Calibri" w:cs="Calibri"/>
                <w:sz w:val="20"/>
                <w:szCs w:val="20"/>
                <w:lang w:val="es"/>
              </w:rPr>
            </w:pPr>
            <w:r w:rsidRPr="62C29527">
              <w:rPr>
                <w:rFonts w:ascii="Calibri" w:eastAsia="Calibri" w:hAnsi="Calibri" w:cs="Calibri"/>
                <w:sz w:val="20"/>
                <w:szCs w:val="20"/>
                <w:lang w:val="es"/>
              </w:rPr>
              <w:t>-IEC 60950, IEC 61000-6.</w:t>
            </w:r>
          </w:p>
        </w:tc>
      </w:tr>
      <w:tr w:rsidR="62C29527" w14:paraId="13A83949" w14:textId="77777777" w:rsidTr="62C29527">
        <w:trPr>
          <w:trHeight w:val="975"/>
        </w:trPr>
        <w:tc>
          <w:tcPr>
            <w:tcW w:w="16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13" w:type="dxa"/>
              <w:right w:w="113" w:type="dxa"/>
            </w:tcMar>
            <w:vAlign w:val="center"/>
          </w:tcPr>
          <w:p w14:paraId="6FE61FD9" w14:textId="5CF4FA85" w:rsidR="62C29527" w:rsidRDefault="62C29527" w:rsidP="62C29527">
            <w:pPr>
              <w:jc w:val="center"/>
              <w:rPr>
                <w:rFonts w:ascii="Calibri" w:eastAsia="Calibri" w:hAnsi="Calibri" w:cs="Calibri"/>
                <w:sz w:val="20"/>
                <w:szCs w:val="20"/>
              </w:rPr>
            </w:pPr>
            <w:r w:rsidRPr="62C29527">
              <w:rPr>
                <w:rFonts w:ascii="Calibri" w:eastAsia="Calibri" w:hAnsi="Calibri" w:cs="Calibri"/>
                <w:sz w:val="20"/>
                <w:szCs w:val="20"/>
              </w:rPr>
              <w:t>Medidores Bidireccionales</w:t>
            </w:r>
          </w:p>
        </w:tc>
        <w:tc>
          <w:tcPr>
            <w:tcW w:w="81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13" w:type="dxa"/>
              <w:right w:w="113" w:type="dxa"/>
            </w:tcMar>
          </w:tcPr>
          <w:p w14:paraId="63373A5C" w14:textId="0F3E369E" w:rsidR="62C29527" w:rsidRDefault="62C29527" w:rsidP="003408E6">
            <w:pPr>
              <w:pStyle w:val="Prrafodelista"/>
              <w:numPr>
                <w:ilvl w:val="0"/>
                <w:numId w:val="19"/>
              </w:numPr>
              <w:ind w:left="360"/>
              <w:jc w:val="both"/>
              <w:rPr>
                <w:rFonts w:ascii="Calibri" w:eastAsia="Calibri" w:hAnsi="Calibri" w:cs="Calibri"/>
                <w:sz w:val="20"/>
                <w:szCs w:val="20"/>
              </w:rPr>
            </w:pPr>
            <w:r w:rsidRPr="62C29527">
              <w:rPr>
                <w:rFonts w:ascii="Calibri" w:eastAsia="Calibri" w:hAnsi="Calibri" w:cs="Calibri"/>
                <w:sz w:val="20"/>
                <w:szCs w:val="20"/>
              </w:rPr>
              <w:t>Tipo de medida: Directa o semidirecta, bidireccional en kWh, kVAr</w:t>
            </w:r>
          </w:p>
          <w:p w14:paraId="4DC98CEF" w14:textId="2969109E" w:rsidR="62C29527" w:rsidRDefault="62C29527" w:rsidP="003408E6">
            <w:pPr>
              <w:pStyle w:val="Prrafodelista"/>
              <w:numPr>
                <w:ilvl w:val="0"/>
                <w:numId w:val="19"/>
              </w:numPr>
              <w:ind w:left="360"/>
              <w:jc w:val="both"/>
              <w:rPr>
                <w:rFonts w:ascii="Calibri" w:eastAsia="Calibri" w:hAnsi="Calibri" w:cs="Calibri"/>
                <w:sz w:val="20"/>
                <w:szCs w:val="20"/>
              </w:rPr>
            </w:pPr>
            <w:r w:rsidRPr="62C29527">
              <w:rPr>
                <w:rFonts w:ascii="Calibri" w:eastAsia="Calibri" w:hAnsi="Calibri" w:cs="Calibri"/>
                <w:sz w:val="20"/>
                <w:szCs w:val="20"/>
              </w:rPr>
              <w:t>Medición en cuatro cuadrantes</w:t>
            </w:r>
          </w:p>
          <w:p w14:paraId="2B26C1E9" w14:textId="415600FA" w:rsidR="62C29527" w:rsidRDefault="62C29527" w:rsidP="003408E6">
            <w:pPr>
              <w:pStyle w:val="Prrafodelista"/>
              <w:numPr>
                <w:ilvl w:val="0"/>
                <w:numId w:val="19"/>
              </w:numPr>
              <w:ind w:left="360"/>
              <w:jc w:val="both"/>
              <w:rPr>
                <w:rFonts w:ascii="Calibri" w:eastAsia="Calibri" w:hAnsi="Calibri" w:cs="Calibri"/>
                <w:sz w:val="20"/>
                <w:szCs w:val="20"/>
              </w:rPr>
            </w:pPr>
            <w:r w:rsidRPr="62C29527">
              <w:rPr>
                <w:rFonts w:ascii="Calibri" w:eastAsia="Calibri" w:hAnsi="Calibri" w:cs="Calibri"/>
                <w:sz w:val="20"/>
                <w:szCs w:val="20"/>
              </w:rPr>
              <w:t>Perfiles de carga: 4 perfiles de carga configurables</w:t>
            </w:r>
          </w:p>
          <w:p w14:paraId="19B78F13" w14:textId="0330E285" w:rsidR="62C29527" w:rsidRDefault="62C29527" w:rsidP="003408E6">
            <w:pPr>
              <w:pStyle w:val="Prrafodelista"/>
              <w:numPr>
                <w:ilvl w:val="0"/>
                <w:numId w:val="19"/>
              </w:numPr>
              <w:ind w:left="360"/>
              <w:jc w:val="both"/>
              <w:rPr>
                <w:rFonts w:ascii="Calibri" w:eastAsia="Calibri" w:hAnsi="Calibri" w:cs="Calibri"/>
                <w:sz w:val="20"/>
                <w:szCs w:val="20"/>
              </w:rPr>
            </w:pPr>
            <w:r w:rsidRPr="62C29527">
              <w:rPr>
                <w:rFonts w:ascii="Calibri" w:eastAsia="Calibri" w:hAnsi="Calibri" w:cs="Calibri"/>
                <w:sz w:val="20"/>
                <w:szCs w:val="20"/>
              </w:rPr>
              <w:t xml:space="preserve">Tipos de conexión: según diseño entre las que se permite (1F-2H,2 F-3H, 3F-4H) </w:t>
            </w:r>
          </w:p>
          <w:p w14:paraId="0546DDCF" w14:textId="58BB13AA" w:rsidR="62C29527" w:rsidRDefault="62C29527" w:rsidP="003408E6">
            <w:pPr>
              <w:pStyle w:val="Prrafodelista"/>
              <w:numPr>
                <w:ilvl w:val="0"/>
                <w:numId w:val="19"/>
              </w:numPr>
              <w:ind w:left="360"/>
              <w:jc w:val="both"/>
              <w:rPr>
                <w:rFonts w:ascii="Calibri" w:eastAsia="Calibri" w:hAnsi="Calibri" w:cs="Calibri"/>
                <w:sz w:val="20"/>
                <w:szCs w:val="20"/>
              </w:rPr>
            </w:pPr>
            <w:r w:rsidRPr="62C29527">
              <w:rPr>
                <w:rFonts w:ascii="Calibri" w:eastAsia="Calibri" w:hAnsi="Calibri" w:cs="Calibri"/>
                <w:sz w:val="20"/>
                <w:szCs w:val="20"/>
              </w:rPr>
              <w:t>Precisión: Clase 1.0 o superior</w:t>
            </w:r>
          </w:p>
          <w:p w14:paraId="5815D990" w14:textId="41A2503D" w:rsidR="62C29527" w:rsidRDefault="62C29527" w:rsidP="003408E6">
            <w:pPr>
              <w:pStyle w:val="Prrafodelista"/>
              <w:numPr>
                <w:ilvl w:val="0"/>
                <w:numId w:val="19"/>
              </w:numPr>
              <w:ind w:left="360"/>
              <w:jc w:val="both"/>
              <w:rPr>
                <w:rFonts w:ascii="Calibri" w:eastAsia="Calibri" w:hAnsi="Calibri" w:cs="Calibri"/>
                <w:sz w:val="20"/>
                <w:szCs w:val="20"/>
              </w:rPr>
            </w:pPr>
            <w:r w:rsidRPr="62C29527">
              <w:rPr>
                <w:rFonts w:ascii="Calibri" w:eastAsia="Calibri" w:hAnsi="Calibri" w:cs="Calibri"/>
                <w:sz w:val="20"/>
                <w:szCs w:val="20"/>
              </w:rPr>
              <w:t>Tensión: según diseño</w:t>
            </w:r>
          </w:p>
          <w:p w14:paraId="0587D1D8" w14:textId="6C24A5CC" w:rsidR="62C29527" w:rsidRDefault="62C29527" w:rsidP="003408E6">
            <w:pPr>
              <w:pStyle w:val="Prrafodelista"/>
              <w:numPr>
                <w:ilvl w:val="0"/>
                <w:numId w:val="19"/>
              </w:numPr>
              <w:ind w:left="360"/>
              <w:jc w:val="both"/>
              <w:rPr>
                <w:rFonts w:ascii="Calibri" w:eastAsia="Calibri" w:hAnsi="Calibri" w:cs="Calibri"/>
                <w:sz w:val="20"/>
                <w:szCs w:val="20"/>
              </w:rPr>
            </w:pPr>
            <w:r w:rsidRPr="62C29527">
              <w:rPr>
                <w:rFonts w:ascii="Calibri" w:eastAsia="Calibri" w:hAnsi="Calibri" w:cs="Calibri"/>
                <w:sz w:val="20"/>
                <w:szCs w:val="20"/>
              </w:rPr>
              <w:t>Rango de tensión: 0,8 – 1,25 Un</w:t>
            </w:r>
          </w:p>
          <w:p w14:paraId="4F8DA846" w14:textId="28279EE0" w:rsidR="62C29527" w:rsidRDefault="62C29527" w:rsidP="003408E6">
            <w:pPr>
              <w:pStyle w:val="Prrafodelista"/>
              <w:numPr>
                <w:ilvl w:val="0"/>
                <w:numId w:val="19"/>
              </w:numPr>
              <w:ind w:left="360"/>
              <w:jc w:val="both"/>
              <w:rPr>
                <w:rFonts w:ascii="Calibri" w:eastAsia="Calibri" w:hAnsi="Calibri" w:cs="Calibri"/>
                <w:sz w:val="20"/>
                <w:szCs w:val="20"/>
              </w:rPr>
            </w:pPr>
            <w:r w:rsidRPr="62C29527">
              <w:rPr>
                <w:rFonts w:ascii="Calibri" w:eastAsia="Calibri" w:hAnsi="Calibri" w:cs="Calibri"/>
                <w:sz w:val="20"/>
                <w:szCs w:val="20"/>
              </w:rPr>
              <w:t>Corriente de base (In): 5 A</w:t>
            </w:r>
          </w:p>
          <w:p w14:paraId="378358AF" w14:textId="096D59BD" w:rsidR="62C29527" w:rsidRDefault="62C29527" w:rsidP="003408E6">
            <w:pPr>
              <w:pStyle w:val="Prrafodelista"/>
              <w:numPr>
                <w:ilvl w:val="0"/>
                <w:numId w:val="19"/>
              </w:numPr>
              <w:ind w:left="360"/>
              <w:jc w:val="both"/>
              <w:rPr>
                <w:rFonts w:ascii="Calibri" w:eastAsia="Calibri" w:hAnsi="Calibri" w:cs="Calibri"/>
                <w:sz w:val="20"/>
                <w:szCs w:val="20"/>
              </w:rPr>
            </w:pPr>
            <w:r w:rsidRPr="62C29527">
              <w:rPr>
                <w:rFonts w:ascii="Calibri" w:eastAsia="Calibri" w:hAnsi="Calibri" w:cs="Calibri"/>
                <w:sz w:val="20"/>
                <w:szCs w:val="20"/>
              </w:rPr>
              <w:t>Corriente máxima (Imax): 120 A</w:t>
            </w:r>
          </w:p>
          <w:p w14:paraId="1C1C5622" w14:textId="06AD2CAE" w:rsidR="62C29527" w:rsidRDefault="62C29527" w:rsidP="003408E6">
            <w:pPr>
              <w:pStyle w:val="Prrafodelista"/>
              <w:numPr>
                <w:ilvl w:val="0"/>
                <w:numId w:val="19"/>
              </w:numPr>
              <w:ind w:left="360"/>
              <w:jc w:val="both"/>
              <w:rPr>
                <w:rFonts w:ascii="Calibri" w:eastAsia="Calibri" w:hAnsi="Calibri" w:cs="Calibri"/>
                <w:sz w:val="20"/>
                <w:szCs w:val="20"/>
              </w:rPr>
            </w:pPr>
            <w:r w:rsidRPr="62C29527">
              <w:rPr>
                <w:rFonts w:ascii="Calibri" w:eastAsia="Calibri" w:hAnsi="Calibri" w:cs="Calibri"/>
                <w:sz w:val="20"/>
                <w:szCs w:val="20"/>
              </w:rPr>
              <w:t>Frecuencia: 60 Hz</w:t>
            </w:r>
          </w:p>
          <w:p w14:paraId="485481ED" w14:textId="6A35C48E" w:rsidR="62C29527" w:rsidRDefault="62C29527" w:rsidP="003408E6">
            <w:pPr>
              <w:pStyle w:val="Prrafodelista"/>
              <w:numPr>
                <w:ilvl w:val="0"/>
                <w:numId w:val="19"/>
              </w:numPr>
              <w:ind w:left="360"/>
              <w:jc w:val="both"/>
              <w:rPr>
                <w:rFonts w:ascii="Calibri" w:eastAsia="Calibri" w:hAnsi="Calibri" w:cs="Calibri"/>
                <w:sz w:val="20"/>
                <w:szCs w:val="20"/>
              </w:rPr>
            </w:pPr>
            <w:r w:rsidRPr="62C29527">
              <w:rPr>
                <w:rFonts w:ascii="Calibri" w:eastAsia="Calibri" w:hAnsi="Calibri" w:cs="Calibri"/>
                <w:sz w:val="20"/>
                <w:szCs w:val="20"/>
              </w:rPr>
              <w:t>Protección: IP54</w:t>
            </w:r>
          </w:p>
          <w:p w14:paraId="32480745" w14:textId="1BF20A48" w:rsidR="62C29527" w:rsidRDefault="62C29527" w:rsidP="003408E6">
            <w:pPr>
              <w:pStyle w:val="Prrafodelista"/>
              <w:numPr>
                <w:ilvl w:val="0"/>
                <w:numId w:val="19"/>
              </w:numPr>
              <w:ind w:left="360"/>
              <w:jc w:val="both"/>
              <w:rPr>
                <w:rFonts w:ascii="Calibri" w:eastAsia="Calibri" w:hAnsi="Calibri" w:cs="Calibri"/>
                <w:sz w:val="20"/>
                <w:szCs w:val="20"/>
              </w:rPr>
            </w:pPr>
            <w:r w:rsidRPr="62C29527">
              <w:rPr>
                <w:rFonts w:ascii="Calibri" w:eastAsia="Calibri" w:hAnsi="Calibri" w:cs="Calibri"/>
                <w:sz w:val="20"/>
                <w:szCs w:val="20"/>
              </w:rPr>
              <w:t>Temperatura Operación: -25°C a +70°C</w:t>
            </w:r>
          </w:p>
          <w:p w14:paraId="1E2C3EDA" w14:textId="4049412D" w:rsidR="62C29527" w:rsidRDefault="62C29527" w:rsidP="003408E6">
            <w:pPr>
              <w:pStyle w:val="Prrafodelista"/>
              <w:numPr>
                <w:ilvl w:val="0"/>
                <w:numId w:val="19"/>
              </w:numPr>
              <w:ind w:left="360"/>
              <w:jc w:val="both"/>
              <w:rPr>
                <w:rFonts w:ascii="Calibri" w:eastAsia="Calibri" w:hAnsi="Calibri" w:cs="Calibri"/>
                <w:sz w:val="20"/>
                <w:szCs w:val="20"/>
              </w:rPr>
            </w:pPr>
            <w:r w:rsidRPr="62C29527">
              <w:rPr>
                <w:rFonts w:ascii="Calibri" w:eastAsia="Calibri" w:hAnsi="Calibri" w:cs="Calibri"/>
                <w:sz w:val="20"/>
                <w:szCs w:val="20"/>
              </w:rPr>
              <w:t>Comunicación: RS485 / puerto óptico</w:t>
            </w:r>
          </w:p>
          <w:p w14:paraId="2E1B2B6F" w14:textId="4E1F5E9E" w:rsidR="62C29527" w:rsidRDefault="62C29527" w:rsidP="003408E6">
            <w:pPr>
              <w:pStyle w:val="Prrafodelista"/>
              <w:numPr>
                <w:ilvl w:val="0"/>
                <w:numId w:val="19"/>
              </w:numPr>
              <w:ind w:left="360"/>
              <w:jc w:val="both"/>
              <w:rPr>
                <w:rFonts w:ascii="Calibri" w:eastAsia="Calibri" w:hAnsi="Calibri" w:cs="Calibri"/>
                <w:sz w:val="20"/>
                <w:szCs w:val="20"/>
              </w:rPr>
            </w:pPr>
            <w:r w:rsidRPr="62C29527">
              <w:rPr>
                <w:rFonts w:ascii="Calibri" w:eastAsia="Calibri" w:hAnsi="Calibri" w:cs="Calibri"/>
                <w:sz w:val="20"/>
                <w:szCs w:val="20"/>
              </w:rPr>
              <w:t>Comunicación Remota GPRS/GSM, Wi-Fi, Ethernet, LoRa</w:t>
            </w:r>
          </w:p>
          <w:p w14:paraId="117DEEDE" w14:textId="59934906" w:rsidR="62C29527" w:rsidRDefault="62C29527" w:rsidP="003408E6">
            <w:pPr>
              <w:pStyle w:val="Prrafodelista"/>
              <w:numPr>
                <w:ilvl w:val="0"/>
                <w:numId w:val="19"/>
              </w:numPr>
              <w:ind w:left="360"/>
              <w:jc w:val="both"/>
              <w:rPr>
                <w:rFonts w:ascii="Calibri" w:eastAsia="Calibri" w:hAnsi="Calibri" w:cs="Calibri"/>
                <w:sz w:val="20"/>
                <w:szCs w:val="20"/>
              </w:rPr>
            </w:pPr>
            <w:r w:rsidRPr="62C29527">
              <w:rPr>
                <w:rFonts w:ascii="Calibri" w:eastAsia="Calibri" w:hAnsi="Calibri" w:cs="Calibri"/>
                <w:sz w:val="20"/>
                <w:szCs w:val="20"/>
              </w:rPr>
              <w:t>Protocolos DLMS/COSEM, IEC62056-21, MODBUS</w:t>
            </w:r>
          </w:p>
          <w:p w14:paraId="1B7F348B" w14:textId="4ACFE57D" w:rsidR="62C29527" w:rsidRDefault="62C29527" w:rsidP="003408E6">
            <w:pPr>
              <w:pStyle w:val="Prrafodelista"/>
              <w:numPr>
                <w:ilvl w:val="0"/>
                <w:numId w:val="19"/>
              </w:numPr>
              <w:ind w:left="360"/>
              <w:jc w:val="both"/>
              <w:rPr>
                <w:rFonts w:ascii="Calibri" w:eastAsia="Calibri" w:hAnsi="Calibri" w:cs="Calibri"/>
                <w:sz w:val="20"/>
                <w:szCs w:val="20"/>
              </w:rPr>
            </w:pPr>
            <w:r w:rsidRPr="62C29527">
              <w:rPr>
                <w:rFonts w:ascii="Calibri" w:eastAsia="Calibri" w:hAnsi="Calibri" w:cs="Calibri"/>
                <w:sz w:val="20"/>
                <w:szCs w:val="20"/>
              </w:rPr>
              <w:t xml:space="preserve">Medición de energía en dos direcciones, mediciones por fase. </w:t>
            </w:r>
          </w:p>
        </w:tc>
      </w:tr>
      <w:tr w:rsidR="62C29527" w14:paraId="450D2DA7" w14:textId="77777777" w:rsidTr="62C29527">
        <w:trPr>
          <w:trHeight w:val="555"/>
        </w:trPr>
        <w:tc>
          <w:tcPr>
            <w:tcW w:w="16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13" w:type="dxa"/>
              <w:right w:w="113" w:type="dxa"/>
            </w:tcMar>
            <w:vAlign w:val="center"/>
          </w:tcPr>
          <w:p w14:paraId="393A6D7F" w14:textId="117D8E54" w:rsidR="62C29527" w:rsidRDefault="62C29527" w:rsidP="62C29527">
            <w:pPr>
              <w:jc w:val="center"/>
              <w:rPr>
                <w:rFonts w:ascii="Calibri" w:eastAsia="Calibri" w:hAnsi="Calibri" w:cs="Calibri"/>
                <w:sz w:val="20"/>
                <w:szCs w:val="20"/>
                <w:lang w:val="es"/>
              </w:rPr>
            </w:pPr>
            <w:r w:rsidRPr="62C29527">
              <w:rPr>
                <w:rFonts w:ascii="Calibri" w:eastAsia="Calibri" w:hAnsi="Calibri" w:cs="Calibri"/>
                <w:sz w:val="20"/>
                <w:szCs w:val="20"/>
                <w:lang w:val="es"/>
              </w:rPr>
              <w:t>Puesta a tierra</w:t>
            </w:r>
          </w:p>
        </w:tc>
        <w:tc>
          <w:tcPr>
            <w:tcW w:w="81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13" w:type="dxa"/>
              <w:right w:w="113" w:type="dxa"/>
            </w:tcMar>
          </w:tcPr>
          <w:p w14:paraId="51B59D1F" w14:textId="4DDC454F" w:rsidR="62C29527" w:rsidRDefault="62C29527" w:rsidP="62C29527">
            <w:pPr>
              <w:tabs>
                <w:tab w:val="left" w:pos="727"/>
              </w:tabs>
              <w:rPr>
                <w:rFonts w:ascii="Calibri" w:eastAsia="Calibri" w:hAnsi="Calibri" w:cs="Calibri"/>
                <w:sz w:val="20"/>
                <w:szCs w:val="20"/>
                <w:lang w:val="es"/>
              </w:rPr>
            </w:pPr>
            <w:r w:rsidRPr="62C29527">
              <w:rPr>
                <w:rFonts w:ascii="Calibri" w:eastAsia="Calibri" w:hAnsi="Calibri" w:cs="Calibri"/>
                <w:sz w:val="20"/>
                <w:szCs w:val="20"/>
                <w:lang w:val="es"/>
              </w:rPr>
              <w:t xml:space="preserve">Varilla de cobre de 5/8”x2,4 metros, cable de cobre desnudo N0. 4 AWG, soldadura exotérmica, suelo artificial y caja de inspección.  </w:t>
            </w:r>
          </w:p>
        </w:tc>
      </w:tr>
    </w:tbl>
    <w:p w14:paraId="07A0283F" w14:textId="6FAEDE40" w:rsidR="4A6F696A" w:rsidRDefault="4A6F696A" w:rsidP="62C29527">
      <w:pPr>
        <w:jc w:val="both"/>
        <w:rPr>
          <w:rFonts w:ascii="Calibri" w:eastAsia="Calibri" w:hAnsi="Calibri" w:cs="Calibri"/>
          <w:sz w:val="20"/>
          <w:szCs w:val="20"/>
        </w:rPr>
      </w:pPr>
      <w:r w:rsidRPr="62C29527">
        <w:rPr>
          <w:rFonts w:ascii="Calibri" w:eastAsia="Calibri" w:hAnsi="Calibri" w:cs="Calibri"/>
          <w:sz w:val="20"/>
          <w:szCs w:val="20"/>
        </w:rPr>
        <w:t xml:space="preserve"> </w:t>
      </w:r>
    </w:p>
    <w:p w14:paraId="467D2EF9" w14:textId="510B9A45" w:rsidR="4A6F696A" w:rsidRDefault="62BECCB7" w:rsidP="3C234025">
      <w:pPr>
        <w:pStyle w:val="Ttulo2"/>
        <w:ind w:left="478"/>
        <w:jc w:val="both"/>
        <w:rPr>
          <w:rFonts w:ascii="Calibri" w:eastAsia="Calibri" w:hAnsi="Calibri" w:cs="Calibri"/>
          <w:lang w:val="es"/>
        </w:rPr>
      </w:pPr>
      <w:bookmarkStart w:id="14" w:name="_Toc922916204"/>
      <w:r w:rsidRPr="6F1EDA97">
        <w:rPr>
          <w:rFonts w:ascii="Calibri" w:eastAsia="Calibri" w:hAnsi="Calibri" w:cs="Calibri"/>
          <w:lang w:val="es"/>
        </w:rPr>
        <w:t xml:space="preserve">5.2 </w:t>
      </w:r>
      <w:r w:rsidR="4A6F696A" w:rsidRPr="6F1EDA97">
        <w:rPr>
          <w:rFonts w:ascii="Calibri" w:eastAsia="Calibri" w:hAnsi="Calibri" w:cs="Calibri"/>
          <w:lang w:val="es"/>
        </w:rPr>
        <w:t>Estructura soporte</w:t>
      </w:r>
      <w:bookmarkEnd w:id="14"/>
    </w:p>
    <w:p w14:paraId="7060A03A" w14:textId="35FB26A5"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27500D2" w14:textId="6D39DFB1"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La estructura es una estructura de soporte deberá contar con la correcta de cimentación y materiales que sigan la normativa descrita a continuación:</w:t>
      </w:r>
    </w:p>
    <w:p w14:paraId="160797D6" w14:textId="14E2B6EA"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3B9F41B" w14:textId="05A1EC81" w:rsidR="4A6F696A" w:rsidRDefault="4A6F696A" w:rsidP="003408E6">
      <w:pPr>
        <w:pStyle w:val="Prrafodelista"/>
        <w:numPr>
          <w:ilvl w:val="0"/>
          <w:numId w:val="18"/>
        </w:numPr>
        <w:jc w:val="both"/>
        <w:rPr>
          <w:rFonts w:ascii="Calibri" w:eastAsia="Calibri" w:hAnsi="Calibri" w:cs="Calibri"/>
          <w:sz w:val="20"/>
          <w:szCs w:val="20"/>
          <w:lang w:val="es"/>
        </w:rPr>
      </w:pPr>
      <w:r w:rsidRPr="62C29527">
        <w:rPr>
          <w:rFonts w:ascii="Calibri" w:eastAsia="Calibri" w:hAnsi="Calibri" w:cs="Calibri"/>
          <w:sz w:val="20"/>
          <w:szCs w:val="20"/>
          <w:lang w:val="es"/>
        </w:rPr>
        <w:t>NSR-10 Reglamento Colombiano de Construcción Sismo Resistente.</w:t>
      </w:r>
    </w:p>
    <w:p w14:paraId="3AC6173A" w14:textId="3FFEE43D" w:rsidR="4A6F696A" w:rsidRDefault="4A6F696A" w:rsidP="003408E6">
      <w:pPr>
        <w:pStyle w:val="Prrafodelista"/>
        <w:numPr>
          <w:ilvl w:val="0"/>
          <w:numId w:val="18"/>
        </w:numPr>
        <w:jc w:val="both"/>
        <w:rPr>
          <w:rFonts w:ascii="Calibri" w:eastAsia="Calibri" w:hAnsi="Calibri" w:cs="Calibri"/>
          <w:sz w:val="20"/>
          <w:szCs w:val="20"/>
          <w:lang w:val="en-US"/>
        </w:rPr>
      </w:pPr>
      <w:r w:rsidRPr="62C29527">
        <w:rPr>
          <w:rFonts w:ascii="Calibri" w:eastAsia="Calibri" w:hAnsi="Calibri" w:cs="Calibri"/>
          <w:sz w:val="20"/>
          <w:szCs w:val="20"/>
          <w:lang w:val="en-US"/>
        </w:rPr>
        <w:t>ASCE 7-22 Minimum Design Loads and Associated Criteria for Buildings.</w:t>
      </w:r>
    </w:p>
    <w:p w14:paraId="311CF529" w14:textId="6AF33B4C" w:rsidR="4A6F696A" w:rsidRDefault="4A6F696A" w:rsidP="003408E6">
      <w:pPr>
        <w:pStyle w:val="Prrafodelista"/>
        <w:numPr>
          <w:ilvl w:val="0"/>
          <w:numId w:val="18"/>
        </w:numPr>
        <w:jc w:val="both"/>
        <w:rPr>
          <w:rFonts w:ascii="Calibri" w:eastAsia="Calibri" w:hAnsi="Calibri" w:cs="Calibri"/>
          <w:sz w:val="20"/>
          <w:szCs w:val="20"/>
          <w:lang w:val="es"/>
        </w:rPr>
      </w:pPr>
      <w:r w:rsidRPr="62C29527">
        <w:rPr>
          <w:rFonts w:ascii="Calibri" w:eastAsia="Calibri" w:hAnsi="Calibri" w:cs="Calibri"/>
          <w:sz w:val="20"/>
          <w:szCs w:val="20"/>
          <w:lang w:val="es"/>
        </w:rPr>
        <w:t>AIS 180-13 Recomendaciones para requisitos sísmicos de estructuras diferentes de edificaciones.</w:t>
      </w:r>
    </w:p>
    <w:p w14:paraId="095AF8D6" w14:textId="4DA6218A" w:rsidR="4A6F696A" w:rsidRDefault="4A6F696A" w:rsidP="003408E6">
      <w:pPr>
        <w:pStyle w:val="Prrafodelista"/>
        <w:numPr>
          <w:ilvl w:val="0"/>
          <w:numId w:val="18"/>
        </w:numPr>
        <w:jc w:val="both"/>
        <w:rPr>
          <w:rFonts w:ascii="Calibri" w:eastAsia="Calibri" w:hAnsi="Calibri" w:cs="Calibri"/>
          <w:sz w:val="20"/>
          <w:szCs w:val="20"/>
          <w:lang w:val="en-US"/>
        </w:rPr>
      </w:pPr>
      <w:r w:rsidRPr="62C29527">
        <w:rPr>
          <w:rFonts w:ascii="Calibri" w:eastAsia="Calibri" w:hAnsi="Calibri" w:cs="Calibri"/>
          <w:sz w:val="20"/>
          <w:szCs w:val="20"/>
          <w:lang w:val="en-US"/>
        </w:rPr>
        <w:t>AISC 360-22 Specification for Structural Steel Buildings.</w:t>
      </w:r>
    </w:p>
    <w:p w14:paraId="680AD66B" w14:textId="047FA426" w:rsidR="4A6F696A" w:rsidRDefault="4A6F696A" w:rsidP="003408E6">
      <w:pPr>
        <w:pStyle w:val="Prrafodelista"/>
        <w:numPr>
          <w:ilvl w:val="0"/>
          <w:numId w:val="18"/>
        </w:numPr>
        <w:jc w:val="both"/>
        <w:rPr>
          <w:rFonts w:ascii="Calibri" w:eastAsia="Calibri" w:hAnsi="Calibri" w:cs="Calibri"/>
          <w:sz w:val="20"/>
          <w:szCs w:val="20"/>
          <w:lang w:val="en-US"/>
        </w:rPr>
      </w:pPr>
      <w:r w:rsidRPr="62C29527">
        <w:rPr>
          <w:rFonts w:ascii="Calibri" w:eastAsia="Calibri" w:hAnsi="Calibri" w:cs="Calibri"/>
          <w:sz w:val="20"/>
          <w:szCs w:val="20"/>
          <w:lang w:val="en-US"/>
        </w:rPr>
        <w:t>ACI 318-19 Building Code Requirements for Concrete and Commentary</w:t>
      </w:r>
    </w:p>
    <w:p w14:paraId="35668F9A" w14:textId="65EF8EAA" w:rsidR="4A6F696A" w:rsidRDefault="4A6F696A" w:rsidP="003408E6">
      <w:pPr>
        <w:pStyle w:val="Prrafodelista"/>
        <w:numPr>
          <w:ilvl w:val="0"/>
          <w:numId w:val="18"/>
        </w:numPr>
        <w:jc w:val="both"/>
        <w:rPr>
          <w:rFonts w:ascii="Calibri" w:eastAsia="Calibri" w:hAnsi="Calibri" w:cs="Calibri"/>
          <w:sz w:val="20"/>
          <w:szCs w:val="20"/>
          <w:lang w:val="en-US"/>
        </w:rPr>
      </w:pPr>
      <w:r w:rsidRPr="62C29527">
        <w:rPr>
          <w:rFonts w:ascii="Calibri" w:eastAsia="Calibri" w:hAnsi="Calibri" w:cs="Calibri"/>
          <w:sz w:val="20"/>
          <w:szCs w:val="20"/>
          <w:lang w:val="en-US"/>
        </w:rPr>
        <w:t>ASCE 48-19 Design of Steel Transmission Pole Structures.</w:t>
      </w:r>
    </w:p>
    <w:p w14:paraId="4F917827" w14:textId="73E6D084" w:rsidR="4A6F696A" w:rsidRDefault="4A6F696A" w:rsidP="62C29527">
      <w:pPr>
        <w:tabs>
          <w:tab w:val="left" w:pos="478"/>
        </w:tabs>
        <w:jc w:val="both"/>
        <w:rPr>
          <w:rFonts w:ascii="Calibri" w:eastAsia="Calibri" w:hAnsi="Calibri" w:cs="Calibri"/>
          <w:sz w:val="20"/>
          <w:szCs w:val="20"/>
          <w:lang w:val="en-US"/>
        </w:rPr>
      </w:pPr>
      <w:r w:rsidRPr="62C29527">
        <w:rPr>
          <w:rFonts w:ascii="Calibri" w:eastAsia="Calibri" w:hAnsi="Calibri" w:cs="Calibri"/>
          <w:sz w:val="20"/>
          <w:szCs w:val="20"/>
          <w:lang w:val="en-US"/>
        </w:rPr>
        <w:t xml:space="preserve"> </w:t>
      </w:r>
    </w:p>
    <w:p w14:paraId="649466EF" w14:textId="0C37C45C"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La estructura soporte de los módulos serán en acero galvanizado o aluminio que cumpla el calibre adecuado siendo resistentes a la exposición al agua, condiciones de humedad, vientos, salinidad y sol todo el tiempo. Para el caso de los elementos que serán sometidos a proceso de galvanizado, este deberá ser realizado en caliente y la limpieza de estos y deberá contar con el certificado y/o informe de conformidad del proceso de galvanizado en caliente, donde se evidencie el cumplimiento del espesor de la barrera galvánica. Para el método de sujeción, los módulos solares no deberán ser perforados, sujetados directamente en la cara frontal del panel o tener partes que incidan en sombras sobre los mismos.</w:t>
      </w:r>
    </w:p>
    <w:p w14:paraId="76FEEB38" w14:textId="49F61200"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4DFED09" w14:textId="371345C5" w:rsidR="4A6F696A" w:rsidRDefault="4A6F696A" w:rsidP="62C29527">
      <w:pPr>
        <w:pStyle w:val="Ttulo1"/>
        <w:jc w:val="both"/>
        <w:rPr>
          <w:rFonts w:ascii="Calibri" w:eastAsia="Calibri" w:hAnsi="Calibri" w:cs="Calibri"/>
          <w:lang w:val="es"/>
        </w:rPr>
      </w:pPr>
      <w:bookmarkStart w:id="15" w:name="_Toc859555188"/>
      <w:r w:rsidRPr="6F1EDA97">
        <w:rPr>
          <w:rFonts w:ascii="Calibri" w:eastAsia="Calibri" w:hAnsi="Calibri" w:cs="Calibri"/>
          <w:lang w:val="es"/>
        </w:rPr>
        <w:t>OBLIGACIONES DEL CONTRATISTA IMPLEMENTADOR EN MATERIA DE SEGURIDAD Y SALUD EN EL TRABAJO</w:t>
      </w:r>
      <w:bookmarkEnd w:id="15"/>
    </w:p>
    <w:p w14:paraId="34B40A1F" w14:textId="4B78372A" w:rsidR="4A6F696A" w:rsidRDefault="4A6F696A" w:rsidP="62C29527">
      <w:pPr>
        <w:jc w:val="both"/>
        <w:rPr>
          <w:rFonts w:ascii="Calibri" w:eastAsia="Calibri" w:hAnsi="Calibri" w:cs="Calibri"/>
          <w:b/>
          <w:bCs/>
          <w:i/>
          <w:iCs/>
          <w:sz w:val="20"/>
          <w:szCs w:val="20"/>
          <w:lang w:val="es"/>
        </w:rPr>
      </w:pPr>
      <w:r w:rsidRPr="62C29527">
        <w:rPr>
          <w:rFonts w:ascii="Calibri" w:eastAsia="Calibri" w:hAnsi="Calibri" w:cs="Calibri"/>
          <w:b/>
          <w:bCs/>
          <w:i/>
          <w:iCs/>
          <w:sz w:val="20"/>
          <w:szCs w:val="20"/>
          <w:lang w:val="es"/>
        </w:rPr>
        <w:t xml:space="preserve"> </w:t>
      </w:r>
    </w:p>
    <w:p w14:paraId="28501BC8" w14:textId="6C7C9182" w:rsidR="4A6F696A" w:rsidRDefault="4A6F696A" w:rsidP="62C29527">
      <w:pPr>
        <w:jc w:val="both"/>
        <w:rPr>
          <w:rFonts w:ascii="Calibri" w:eastAsia="Calibri" w:hAnsi="Calibri" w:cs="Calibri"/>
          <w:sz w:val="20"/>
          <w:szCs w:val="20"/>
          <w:lang w:val="es"/>
        </w:rPr>
      </w:pPr>
      <w:r w:rsidRPr="38A25E75">
        <w:rPr>
          <w:rFonts w:ascii="Calibri" w:eastAsia="Calibri" w:hAnsi="Calibri" w:cs="Calibri"/>
          <w:sz w:val="20"/>
          <w:szCs w:val="20"/>
          <w:lang w:val="es"/>
        </w:rPr>
        <w:t>El eventual CONTRATISTA</w:t>
      </w:r>
      <w:r w:rsidRPr="38A25E75">
        <w:rPr>
          <w:rFonts w:ascii="Calibri" w:eastAsia="Calibri" w:hAnsi="Calibri" w:cs="Calibri"/>
          <w:b/>
          <w:bCs/>
          <w:sz w:val="20"/>
          <w:szCs w:val="20"/>
          <w:lang w:val="es"/>
        </w:rPr>
        <w:t xml:space="preserve"> </w:t>
      </w:r>
      <w:r w:rsidRPr="38A25E75">
        <w:rPr>
          <w:rFonts w:ascii="Calibri" w:eastAsia="Calibri" w:hAnsi="Calibri" w:cs="Calibri"/>
          <w:sz w:val="20"/>
          <w:szCs w:val="20"/>
          <w:lang w:val="es"/>
        </w:rPr>
        <w:t>es el único responsable por el cumplimiento de los requisitos y obligaciones en Seguridad y Salud en el Trabajo – SST que adquiere con ocasión de</w:t>
      </w:r>
      <w:r w:rsidR="0E49A52C" w:rsidRPr="38A25E75">
        <w:rPr>
          <w:rFonts w:ascii="Calibri" w:eastAsia="Calibri" w:hAnsi="Calibri" w:cs="Calibri"/>
          <w:sz w:val="20"/>
          <w:szCs w:val="20"/>
          <w:lang w:val="es"/>
        </w:rPr>
        <w:t>l contrato</w:t>
      </w:r>
      <w:r w:rsidRPr="38A25E75">
        <w:rPr>
          <w:rFonts w:ascii="Calibri" w:eastAsia="Calibri" w:hAnsi="Calibri" w:cs="Calibri"/>
          <w:sz w:val="20"/>
          <w:szCs w:val="20"/>
          <w:lang w:val="es"/>
        </w:rPr>
        <w:t xml:space="preserve"> a ejecutar. Los requisitos y responsabilidades aquí contenidas deben ser extendidas a sus subcontratistas, por lo cual, cualquier subcontrato debe incluir y cumplir los mismos requisitos del eventual CONTRATO</w:t>
      </w:r>
      <w:r w:rsidRPr="38A25E75">
        <w:rPr>
          <w:rFonts w:ascii="Calibri" w:eastAsia="Calibri" w:hAnsi="Calibri" w:cs="Calibri"/>
          <w:b/>
          <w:bCs/>
          <w:sz w:val="20"/>
          <w:szCs w:val="20"/>
          <w:lang w:val="es"/>
        </w:rPr>
        <w:t xml:space="preserve"> </w:t>
      </w:r>
      <w:r w:rsidRPr="38A25E75">
        <w:rPr>
          <w:rFonts w:ascii="Calibri" w:eastAsia="Calibri" w:hAnsi="Calibri" w:cs="Calibri"/>
          <w:sz w:val="20"/>
          <w:szCs w:val="20"/>
          <w:lang w:val="es"/>
        </w:rPr>
        <w:t>principal en materia SST, sin lugar a excepción. El eventual CONTRATISTA</w:t>
      </w:r>
      <w:r w:rsidRPr="38A25E75">
        <w:rPr>
          <w:rFonts w:ascii="Calibri" w:eastAsia="Calibri" w:hAnsi="Calibri" w:cs="Calibri"/>
          <w:b/>
          <w:bCs/>
          <w:sz w:val="20"/>
          <w:szCs w:val="20"/>
          <w:lang w:val="es"/>
        </w:rPr>
        <w:t xml:space="preserve"> </w:t>
      </w:r>
      <w:r w:rsidRPr="38A25E75">
        <w:rPr>
          <w:rFonts w:ascii="Calibri" w:eastAsia="Calibri" w:hAnsi="Calibri" w:cs="Calibri"/>
          <w:sz w:val="20"/>
          <w:szCs w:val="20"/>
          <w:lang w:val="es"/>
        </w:rPr>
        <w:t>es el responsable exclusivo por cualquier incumplimiento SST en relación con sus trabajadores, comunidades vecinas, autoridades gubernamentales, sus subcontratistas y el medio ambiente.</w:t>
      </w:r>
    </w:p>
    <w:p w14:paraId="55DCD4C9" w14:textId="77744C11"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2BBB08BE" w14:textId="314B48D8" w:rsidR="4A6F696A" w:rsidRDefault="4A6F696A" w:rsidP="62C29527">
      <w:pPr>
        <w:jc w:val="both"/>
        <w:rPr>
          <w:rFonts w:ascii="Calibri" w:eastAsia="Calibri" w:hAnsi="Calibri" w:cs="Calibri"/>
          <w:sz w:val="20"/>
          <w:szCs w:val="20"/>
          <w:lang w:val="es"/>
        </w:rPr>
      </w:pPr>
      <w:r w:rsidRPr="38A25E75">
        <w:rPr>
          <w:rFonts w:ascii="Calibri" w:eastAsia="Calibri" w:hAnsi="Calibri" w:cs="Calibri"/>
          <w:sz w:val="20"/>
          <w:szCs w:val="20"/>
          <w:lang w:val="es"/>
        </w:rPr>
        <w:t>El eventual CONTRATISTA</w:t>
      </w:r>
      <w:r w:rsidRPr="38A25E75">
        <w:rPr>
          <w:rFonts w:ascii="Calibri" w:eastAsia="Calibri" w:hAnsi="Calibri" w:cs="Calibri"/>
          <w:b/>
          <w:bCs/>
          <w:sz w:val="20"/>
          <w:szCs w:val="20"/>
          <w:lang w:val="es"/>
        </w:rPr>
        <w:t xml:space="preserve"> </w:t>
      </w:r>
      <w:r w:rsidRPr="38A25E75">
        <w:rPr>
          <w:rFonts w:ascii="Calibri" w:eastAsia="Calibri" w:hAnsi="Calibri" w:cs="Calibri"/>
          <w:sz w:val="20"/>
          <w:szCs w:val="20"/>
          <w:lang w:val="es"/>
        </w:rPr>
        <w:t>se obliga a desarrollar y asegurar para la ejecución de</w:t>
      </w:r>
      <w:r w:rsidR="7F3E2916" w:rsidRPr="38A25E75">
        <w:rPr>
          <w:rFonts w:ascii="Calibri" w:eastAsia="Calibri" w:hAnsi="Calibri" w:cs="Calibri"/>
          <w:sz w:val="20"/>
          <w:szCs w:val="20"/>
          <w:lang w:val="es"/>
        </w:rPr>
        <w:t>l contrato</w:t>
      </w:r>
      <w:r w:rsidRPr="38A25E75">
        <w:rPr>
          <w:rFonts w:ascii="Calibri" w:eastAsia="Calibri" w:hAnsi="Calibri" w:cs="Calibri"/>
          <w:b/>
          <w:bCs/>
          <w:sz w:val="20"/>
          <w:szCs w:val="20"/>
          <w:lang w:val="es"/>
        </w:rPr>
        <w:t xml:space="preserve">, </w:t>
      </w:r>
      <w:r w:rsidRPr="38A25E75">
        <w:rPr>
          <w:rFonts w:ascii="Calibri" w:eastAsia="Calibri" w:hAnsi="Calibri" w:cs="Calibri"/>
          <w:sz w:val="20"/>
          <w:szCs w:val="20"/>
          <w:lang w:val="es"/>
        </w:rPr>
        <w:t>un plan de Seguridad y Salud en el Trabajo, el cual será entregado para aprobación, como mínimo una semana antes de dar inicio a actividades de ejecución del CONTRATO. El eventual CONTRATISTA</w:t>
      </w:r>
      <w:r w:rsidRPr="38A25E75">
        <w:rPr>
          <w:rFonts w:ascii="Calibri" w:eastAsia="Calibri" w:hAnsi="Calibri" w:cs="Calibri"/>
          <w:b/>
          <w:bCs/>
          <w:sz w:val="20"/>
          <w:szCs w:val="20"/>
          <w:lang w:val="es"/>
        </w:rPr>
        <w:t xml:space="preserve"> </w:t>
      </w:r>
      <w:r w:rsidRPr="38A25E75">
        <w:rPr>
          <w:rFonts w:ascii="Calibri" w:eastAsia="Calibri" w:hAnsi="Calibri" w:cs="Calibri"/>
          <w:sz w:val="20"/>
          <w:szCs w:val="20"/>
          <w:lang w:val="es"/>
        </w:rPr>
        <w:t xml:space="preserve">no podrá iniciar dichas labores operativas hasta que su Plan SST supere la evaluación de su Planeación en un 100 %. De la misma forma, toda mejora/modificación que requiera ser realizada a dicho Plan durante la ejecución del objeto del eventual CONTRATO, debe ser presentada a la SUPERVISIÓN Y/O INTERVENTORÍA para revisión y aceptación. </w:t>
      </w:r>
    </w:p>
    <w:p w14:paraId="6387863D" w14:textId="69746578"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242E4F47" w14:textId="4B262818"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El eventual CONTRATISTA</w:t>
      </w:r>
      <w:r w:rsidRPr="62C29527">
        <w:rPr>
          <w:rFonts w:ascii="Calibri" w:eastAsia="Calibri" w:hAnsi="Calibri" w:cs="Calibri"/>
          <w:b/>
          <w:bCs/>
          <w:sz w:val="20"/>
          <w:szCs w:val="20"/>
          <w:lang w:val="es"/>
        </w:rPr>
        <w:t xml:space="preserve"> </w:t>
      </w:r>
      <w:r w:rsidRPr="62C29527">
        <w:rPr>
          <w:rFonts w:ascii="Calibri" w:eastAsia="Calibri" w:hAnsi="Calibri" w:cs="Calibri"/>
          <w:sz w:val="20"/>
          <w:szCs w:val="20"/>
          <w:lang w:val="es"/>
        </w:rPr>
        <w:t>se compromete a cumplir todas las obligaciones legales, estatutarias, reglamentarias y convencionales de ser el caso, que se deriven de su carácter de empleador y responsabilidades que impone la ley frente a sus trabajadores como son:</w:t>
      </w:r>
    </w:p>
    <w:p w14:paraId="46A218D9" w14:textId="11F9A2D9"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3F0C910" w14:textId="6AEBD807" w:rsidR="4A6F696A" w:rsidRDefault="4A6F696A" w:rsidP="003408E6">
      <w:pPr>
        <w:pStyle w:val="Prrafodelista"/>
        <w:numPr>
          <w:ilvl w:val="0"/>
          <w:numId w:val="17"/>
        </w:numPr>
        <w:ind w:left="360"/>
        <w:jc w:val="both"/>
        <w:rPr>
          <w:rFonts w:ascii="Calibri" w:eastAsia="Calibri" w:hAnsi="Calibri" w:cs="Calibri"/>
          <w:sz w:val="20"/>
          <w:szCs w:val="20"/>
        </w:rPr>
      </w:pPr>
      <w:r w:rsidRPr="62C29527">
        <w:rPr>
          <w:rFonts w:ascii="Calibri" w:eastAsia="Calibri" w:hAnsi="Calibri" w:cs="Calibri"/>
          <w:sz w:val="20"/>
          <w:szCs w:val="20"/>
        </w:rPr>
        <w:t>Pagar cumplidamente los salarios, las horas extras (Resolución emitida por el Ministerio de trabajo Vigente), recargos por trabajo nocturno, dominicales y festivos, prestaciones sociales, descansos remunerados, indemnizaciones y demás conceptos de carácter laboral, de conformidad con la legislación vigente.</w:t>
      </w:r>
    </w:p>
    <w:p w14:paraId="372D10FC" w14:textId="5EBDC075" w:rsidR="4A6F696A" w:rsidRDefault="4A6F696A" w:rsidP="003408E6">
      <w:pPr>
        <w:pStyle w:val="Prrafodelista"/>
        <w:numPr>
          <w:ilvl w:val="0"/>
          <w:numId w:val="17"/>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Afiliar a todos sus trabajadores al sistema de seguridad social establecido en la legislación vigente en Colombia, así como pagar los aportes de este en Salud, Pensiones y Riesgos laborales.</w:t>
      </w:r>
    </w:p>
    <w:p w14:paraId="558F8552" w14:textId="0A296933" w:rsidR="4A6F696A" w:rsidRDefault="4A6F696A" w:rsidP="003408E6">
      <w:pPr>
        <w:pStyle w:val="Prrafodelista"/>
        <w:numPr>
          <w:ilvl w:val="0"/>
          <w:numId w:val="17"/>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Pagar todas las prestaciones legales y extralegales que la empresa colaboradora tenga pactadas con sus empleados en los términos y plazos exigidos por la ley.</w:t>
      </w:r>
    </w:p>
    <w:p w14:paraId="1B83DD88" w14:textId="5816754D" w:rsidR="4A6F696A" w:rsidRDefault="4A6F696A" w:rsidP="003408E6">
      <w:pPr>
        <w:pStyle w:val="Prrafodelista"/>
        <w:numPr>
          <w:ilvl w:val="0"/>
          <w:numId w:val="17"/>
        </w:numPr>
        <w:ind w:left="360"/>
        <w:jc w:val="both"/>
        <w:rPr>
          <w:rFonts w:ascii="Calibri" w:eastAsia="Calibri" w:hAnsi="Calibri" w:cs="Calibri"/>
          <w:color w:val="000000" w:themeColor="text1"/>
          <w:sz w:val="20"/>
          <w:szCs w:val="20"/>
          <w:lang w:val="es"/>
        </w:rPr>
      </w:pPr>
      <w:r w:rsidRPr="62C29527">
        <w:rPr>
          <w:rFonts w:ascii="Calibri" w:eastAsia="Calibri" w:hAnsi="Calibri" w:cs="Calibri"/>
          <w:color w:val="000000" w:themeColor="text1"/>
          <w:sz w:val="20"/>
          <w:szCs w:val="20"/>
          <w:lang w:val="es"/>
        </w:rPr>
        <w:t>Afiliar a los trabajadores a una Caja de Compensación Familiar y hacer todos los aportes parafiscales señalados y exigidos por la Ley: SENA, ICBF, CAJAS DE COMPENSACIÓN.</w:t>
      </w:r>
    </w:p>
    <w:p w14:paraId="7126A52F" w14:textId="2339D11C" w:rsidR="4A6F696A" w:rsidRDefault="4A6F696A" w:rsidP="003408E6">
      <w:pPr>
        <w:pStyle w:val="Prrafodelista"/>
        <w:numPr>
          <w:ilvl w:val="0"/>
          <w:numId w:val="17"/>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Practicar los exámenes médicos de ingreso, periódicos de post incapacidad y egreso de cada Trabajador.</w:t>
      </w:r>
    </w:p>
    <w:p w14:paraId="6E044DB6" w14:textId="3D24390B" w:rsidR="4A6F696A" w:rsidRDefault="4A6F696A" w:rsidP="38A25E75">
      <w:pPr>
        <w:pStyle w:val="Prrafodelista"/>
        <w:numPr>
          <w:ilvl w:val="0"/>
          <w:numId w:val="17"/>
        </w:numPr>
        <w:spacing w:line="259" w:lineRule="auto"/>
        <w:ind w:left="360"/>
        <w:jc w:val="both"/>
        <w:rPr>
          <w:rFonts w:ascii="Calibri" w:eastAsia="Calibri" w:hAnsi="Calibri" w:cs="Calibri"/>
          <w:sz w:val="20"/>
          <w:szCs w:val="20"/>
          <w:lang w:val="es"/>
        </w:rPr>
      </w:pPr>
      <w:r w:rsidRPr="38A25E75">
        <w:rPr>
          <w:rFonts w:ascii="Calibri" w:eastAsia="Calibri" w:hAnsi="Calibri" w:cs="Calibri"/>
          <w:sz w:val="20"/>
          <w:szCs w:val="20"/>
          <w:lang w:val="es"/>
        </w:rPr>
        <w:t xml:space="preserve">Al finalizar el </w:t>
      </w:r>
      <w:r w:rsidR="4351362F" w:rsidRPr="38A25E75">
        <w:rPr>
          <w:rFonts w:ascii="Calibri" w:eastAsia="Calibri" w:hAnsi="Calibri" w:cs="Calibri"/>
          <w:sz w:val="20"/>
          <w:szCs w:val="20"/>
          <w:lang w:val="es"/>
        </w:rPr>
        <w:t xml:space="preserve">contrato </w:t>
      </w:r>
      <w:r w:rsidRPr="38A25E75">
        <w:rPr>
          <w:rFonts w:ascii="Calibri" w:eastAsia="Calibri" w:hAnsi="Calibri" w:cs="Calibri"/>
          <w:sz w:val="20"/>
          <w:szCs w:val="20"/>
          <w:lang w:val="es"/>
        </w:rPr>
        <w:t>El CONTRATISTA</w:t>
      </w:r>
      <w:r w:rsidRPr="38A25E75">
        <w:rPr>
          <w:rFonts w:ascii="Calibri" w:eastAsia="Calibri" w:hAnsi="Calibri" w:cs="Calibri"/>
          <w:b/>
          <w:bCs/>
          <w:sz w:val="20"/>
          <w:szCs w:val="20"/>
          <w:lang w:val="es"/>
        </w:rPr>
        <w:t xml:space="preserve"> </w:t>
      </w:r>
      <w:r w:rsidRPr="38A25E75">
        <w:rPr>
          <w:rFonts w:ascii="Calibri" w:eastAsia="Calibri" w:hAnsi="Calibri" w:cs="Calibri"/>
          <w:sz w:val="20"/>
          <w:szCs w:val="20"/>
          <w:lang w:val="es"/>
        </w:rPr>
        <w:t>deberá demostrar Paz y Salvo de liquidación de cada uno de los colaboradores y adicionalmente certificado de AUTODECLARACIÓN FIRMADA POR REVISOR FISCAL DEL CUMPLIMIENTO DE OBLIGACIONES JURÍDICO – LABORALES detallando:</w:t>
      </w:r>
    </w:p>
    <w:p w14:paraId="183D0A30" w14:textId="095986BB"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6EBA319" w14:textId="173D4C80" w:rsidR="4A6F696A" w:rsidRDefault="4A6F696A" w:rsidP="003408E6">
      <w:pPr>
        <w:pStyle w:val="Prrafodelista"/>
        <w:numPr>
          <w:ilvl w:val="0"/>
          <w:numId w:val="16"/>
        </w:numPr>
        <w:jc w:val="both"/>
        <w:rPr>
          <w:rFonts w:ascii="Calibri" w:eastAsia="Calibri" w:hAnsi="Calibri" w:cs="Calibri"/>
          <w:sz w:val="20"/>
          <w:szCs w:val="20"/>
          <w:lang w:val="es"/>
        </w:rPr>
      </w:pPr>
      <w:r w:rsidRPr="38A25E75">
        <w:rPr>
          <w:rFonts w:ascii="Calibri" w:eastAsia="Calibri" w:hAnsi="Calibri" w:cs="Calibri"/>
          <w:sz w:val="20"/>
          <w:szCs w:val="20"/>
          <w:lang w:val="es"/>
        </w:rPr>
        <w:t xml:space="preserve">Que la empresa CONTRATISTA ha dado cumplimiento al pago de salarios y ha cancelado las obligaciones frente al Sistema General de Seguridad Social (AFP, EPS, ARL), y parafiscales de manera oportuna, de acuerdo con lo establecido en el Decreto 1670 del 14 de mayo de 2007; del personal que estuvo en </w:t>
      </w:r>
      <w:r w:rsidR="676E02B4" w:rsidRPr="38A25E75">
        <w:rPr>
          <w:rFonts w:ascii="Calibri" w:eastAsia="Calibri" w:hAnsi="Calibri" w:cs="Calibri"/>
          <w:sz w:val="20"/>
          <w:szCs w:val="20"/>
          <w:lang w:val="es"/>
        </w:rPr>
        <w:t xml:space="preserve">la iniciativa </w:t>
      </w:r>
      <w:r w:rsidRPr="38A25E75">
        <w:rPr>
          <w:rFonts w:ascii="Calibri" w:eastAsia="Calibri" w:hAnsi="Calibri" w:cs="Calibri"/>
          <w:sz w:val="20"/>
          <w:szCs w:val="20"/>
          <w:lang w:val="es"/>
        </w:rPr>
        <w:t>de</w:t>
      </w:r>
      <w:r w:rsidR="7A64D36C" w:rsidRPr="38A25E75">
        <w:rPr>
          <w:rFonts w:ascii="Calibri" w:eastAsia="Calibri" w:hAnsi="Calibri" w:cs="Calibri"/>
          <w:sz w:val="20"/>
          <w:szCs w:val="20"/>
          <w:lang w:val="es"/>
        </w:rPr>
        <w:t xml:space="preserve"> la</w:t>
      </w:r>
      <w:r w:rsidRPr="38A25E75">
        <w:rPr>
          <w:rFonts w:ascii="Calibri" w:eastAsia="Calibri" w:hAnsi="Calibri" w:cs="Calibri"/>
          <w:sz w:val="20"/>
          <w:szCs w:val="20"/>
          <w:lang w:val="es"/>
        </w:rPr>
        <w:t xml:space="preserve"> cual es motivo el CONTRATO con fecha de inicio y final de operación.</w:t>
      </w:r>
    </w:p>
    <w:p w14:paraId="238AF9D7" w14:textId="0143D2A1" w:rsidR="4A6F696A" w:rsidRDefault="4A6F696A" w:rsidP="003408E6">
      <w:pPr>
        <w:pStyle w:val="Prrafodelista"/>
        <w:numPr>
          <w:ilvl w:val="0"/>
          <w:numId w:val="16"/>
        </w:numPr>
        <w:jc w:val="both"/>
        <w:rPr>
          <w:rFonts w:ascii="Calibri" w:eastAsia="Calibri" w:hAnsi="Calibri" w:cs="Calibri"/>
          <w:sz w:val="20"/>
          <w:szCs w:val="20"/>
          <w:lang w:val="es"/>
        </w:rPr>
      </w:pPr>
      <w:r w:rsidRPr="38A25E75">
        <w:rPr>
          <w:rFonts w:ascii="Calibri" w:eastAsia="Calibri" w:hAnsi="Calibri" w:cs="Calibri"/>
          <w:sz w:val="20"/>
          <w:szCs w:val="20"/>
          <w:lang w:val="es"/>
        </w:rPr>
        <w:t xml:space="preserve">Que la empresa CONTRATISTA ha realizado los pagos correspondientes e informes acerca de las presentaciones sociales causadas y pagadas en el inicio, proceso y finalización del </w:t>
      </w:r>
      <w:r w:rsidR="66C393CD" w:rsidRPr="38A25E75">
        <w:rPr>
          <w:rFonts w:ascii="Calibri" w:eastAsia="Calibri" w:hAnsi="Calibri" w:cs="Calibri"/>
          <w:sz w:val="20"/>
          <w:szCs w:val="20"/>
          <w:lang w:val="es"/>
        </w:rPr>
        <w:t>contra</w:t>
      </w:r>
      <w:r w:rsidRPr="38A25E75">
        <w:rPr>
          <w:rFonts w:ascii="Calibri" w:eastAsia="Calibri" w:hAnsi="Calibri" w:cs="Calibri"/>
          <w:sz w:val="20"/>
          <w:szCs w:val="20"/>
          <w:lang w:val="es"/>
        </w:rPr>
        <w:t>to: prima de servicios, calzado y vestido de labor, auxilio de cesantías e intereses de cesantías.</w:t>
      </w:r>
    </w:p>
    <w:p w14:paraId="1A2CF809" w14:textId="2A4FBF15"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B6358E3" w14:textId="7F3164C5" w:rsidR="4A6F696A" w:rsidRDefault="4A6F696A" w:rsidP="003408E6">
      <w:pPr>
        <w:pStyle w:val="Prrafodelista"/>
        <w:numPr>
          <w:ilvl w:val="0"/>
          <w:numId w:val="15"/>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El eventual CONTRATISTA</w:t>
      </w:r>
      <w:r w:rsidRPr="62C29527">
        <w:rPr>
          <w:rFonts w:ascii="Calibri" w:eastAsia="Calibri" w:hAnsi="Calibri" w:cs="Calibri"/>
          <w:b/>
          <w:bCs/>
          <w:sz w:val="20"/>
          <w:szCs w:val="20"/>
          <w:lang w:val="es"/>
        </w:rPr>
        <w:t xml:space="preserve"> </w:t>
      </w:r>
      <w:r w:rsidRPr="62C29527">
        <w:rPr>
          <w:rFonts w:ascii="Calibri" w:eastAsia="Calibri" w:hAnsi="Calibri" w:cs="Calibri"/>
          <w:sz w:val="20"/>
          <w:szCs w:val="20"/>
          <w:lang w:val="es"/>
        </w:rPr>
        <w:t>debe certificar que cuenta con el permiso del ministerio de la protección social para laborar horas suplementarias bajo resolución. Si es el caso y realizan horas extras.</w:t>
      </w:r>
    </w:p>
    <w:p w14:paraId="7279FB93" w14:textId="03552AC6" w:rsidR="4A6F696A" w:rsidRDefault="4A6F696A" w:rsidP="003408E6">
      <w:pPr>
        <w:pStyle w:val="Prrafodelista"/>
        <w:numPr>
          <w:ilvl w:val="0"/>
          <w:numId w:val="15"/>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El eventual CONTRATISTA</w:t>
      </w:r>
      <w:r w:rsidRPr="62C29527">
        <w:rPr>
          <w:rFonts w:ascii="Calibri" w:eastAsia="Calibri" w:hAnsi="Calibri" w:cs="Calibri"/>
          <w:b/>
          <w:bCs/>
          <w:sz w:val="20"/>
          <w:szCs w:val="20"/>
          <w:lang w:val="es"/>
        </w:rPr>
        <w:t xml:space="preserve"> </w:t>
      </w:r>
      <w:r w:rsidRPr="62C29527">
        <w:rPr>
          <w:rFonts w:ascii="Calibri" w:eastAsia="Calibri" w:hAnsi="Calibri" w:cs="Calibri"/>
          <w:sz w:val="20"/>
          <w:szCs w:val="20"/>
          <w:lang w:val="es"/>
        </w:rPr>
        <w:t>tendrá en obra un DOSSIER (Carpeta) en físico y Magnético con la siguiente documentación:</w:t>
      </w:r>
    </w:p>
    <w:p w14:paraId="3137430F" w14:textId="43285F2C"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0FA9F5B" w14:textId="1C0586B3"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Certificado de Cumplimiento del SG-SST por parte de la ARL donde consigne el Porcentaje de cumplimiento</w:t>
      </w:r>
    </w:p>
    <w:p w14:paraId="1F8C4543" w14:textId="77726F42"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Política en Seguridad y Salud en el Trabajo Firmada y Actualizada por Representante Legal</w:t>
      </w:r>
    </w:p>
    <w:p w14:paraId="120EE910" w14:textId="07EF6A8A"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Reglamento Interno de Trabajo Firmada y Actualizada por Representante Legal</w:t>
      </w:r>
    </w:p>
    <w:p w14:paraId="1DE8E44D" w14:textId="357BFED6"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Reglamento de Higiene y Seguridad Industrial Firmada y Actualizada por Representante Legal</w:t>
      </w:r>
    </w:p>
    <w:p w14:paraId="6BE02248" w14:textId="07065DAB"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Hojas de vida de sus trabajadores con todos los soportes y competencias</w:t>
      </w:r>
    </w:p>
    <w:p w14:paraId="7F8DB60C" w14:textId="45C410F2"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Afiliaciones y pagos de seguridad a la fecha</w:t>
      </w:r>
    </w:p>
    <w:p w14:paraId="14CB3276" w14:textId="49983520"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Exámenes médicos ocupacionales vigentes según actividad.</w:t>
      </w:r>
    </w:p>
    <w:p w14:paraId="499813BB" w14:textId="79C2ED97"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Cursos vigentes de espacios confinados y/o alturas verificables en plataforma del Ministerio de trabajo (Si Aplica)</w:t>
      </w:r>
    </w:p>
    <w:p w14:paraId="35FD3E5F" w14:textId="528F743F" w:rsidR="4A6F696A" w:rsidRDefault="4A6F696A" w:rsidP="003408E6">
      <w:pPr>
        <w:pStyle w:val="Prrafodelista"/>
        <w:numPr>
          <w:ilvl w:val="0"/>
          <w:numId w:val="14"/>
        </w:numPr>
        <w:jc w:val="both"/>
        <w:rPr>
          <w:rFonts w:ascii="Calibri" w:eastAsia="Calibri" w:hAnsi="Calibri" w:cs="Calibri"/>
          <w:sz w:val="20"/>
          <w:szCs w:val="20"/>
          <w:lang w:val="es"/>
        </w:rPr>
      </w:pPr>
      <w:r w:rsidRPr="3C234025">
        <w:rPr>
          <w:rFonts w:ascii="Calibri" w:eastAsia="Calibri" w:hAnsi="Calibri" w:cs="Calibri"/>
          <w:sz w:val="20"/>
          <w:szCs w:val="20"/>
          <w:lang w:val="es"/>
        </w:rPr>
        <w:t>Formatos Inspecciones realizadas tanto al personal, áreas de trabajo, herramientas y equipos, químicos, Sistemas de acceso</w:t>
      </w:r>
      <w:r w:rsidR="7AD15E23" w:rsidRPr="3C234025">
        <w:rPr>
          <w:rFonts w:ascii="Calibri" w:eastAsia="Calibri" w:hAnsi="Calibri" w:cs="Calibri"/>
          <w:sz w:val="20"/>
          <w:szCs w:val="20"/>
          <w:lang w:val="es"/>
        </w:rPr>
        <w:t>.</w:t>
      </w:r>
    </w:p>
    <w:p w14:paraId="470C78C7" w14:textId="2B70B74B"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Hojas de vida de la Herramientas, equipos, sistemas de acceso y maquinaria, fichas técnicas, de mantenimiento general y mantenimiento de los equipos y maquinaria. (Si aplica el de maquinaria)</w:t>
      </w:r>
    </w:p>
    <w:p w14:paraId="3BE22143" w14:textId="3BCACC7D"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En el caso de Equipos de Protección Contra caídas, líneas de vida, Sistemas de Acceso y demás que se utilice como Elementos de Protección Individual – EPI en trabajos en alturas, deben venir certificados con Hojas de vida, fichas técnicas y Programa de Inspección y Manteniendo acorde a lo dispuesto según Resolución 4272 de 2021.</w:t>
      </w:r>
    </w:p>
    <w:p w14:paraId="676934EE" w14:textId="14E1B48E"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Hojas de seguridad MSDS de productos químicos a utilizar (Si Aplica)</w:t>
      </w:r>
    </w:p>
    <w:p w14:paraId="40C9BA87" w14:textId="261D04B8"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Certificados de Mantenimiento de herramientas eléctricas o maquinaria</w:t>
      </w:r>
    </w:p>
    <w:p w14:paraId="78E58A8D" w14:textId="5D465BE1"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Cronograma de mantenimiento</w:t>
      </w:r>
    </w:p>
    <w:p w14:paraId="552D2ECE" w14:textId="50127778"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Indicadores de Gestión Según resolución 0312 de 2019</w:t>
      </w:r>
    </w:p>
    <w:p w14:paraId="7DEF9175" w14:textId="62A83023"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Brigada de emergencia</w:t>
      </w:r>
    </w:p>
    <w:p w14:paraId="4B456BF9" w14:textId="1FDE9CD2"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Plan de emergencia aterrizado a la labor a realizar firmado por un profesional y si realizan Trabajos en alturas Persona entrenada en rescate vertical</w:t>
      </w:r>
    </w:p>
    <w:p w14:paraId="726CD587" w14:textId="52102A67" w:rsidR="4A6F696A" w:rsidRDefault="4A6F696A" w:rsidP="003408E6">
      <w:pPr>
        <w:pStyle w:val="Prrafodelista"/>
        <w:numPr>
          <w:ilvl w:val="0"/>
          <w:numId w:val="14"/>
        </w:numPr>
        <w:jc w:val="both"/>
        <w:rPr>
          <w:rFonts w:ascii="Calibri" w:eastAsia="Calibri" w:hAnsi="Calibri" w:cs="Calibri"/>
          <w:sz w:val="20"/>
          <w:szCs w:val="20"/>
          <w:lang w:val="es"/>
        </w:rPr>
      </w:pPr>
      <w:r w:rsidRPr="62C29527">
        <w:rPr>
          <w:rFonts w:ascii="Calibri" w:eastAsia="Calibri" w:hAnsi="Calibri" w:cs="Calibri"/>
          <w:sz w:val="20"/>
          <w:szCs w:val="20"/>
          <w:lang w:val="es"/>
        </w:rPr>
        <w:t>Documentación de Persona Competente en la actividad correspondiente como Coordinador de Trabajo en Alturas</w:t>
      </w:r>
    </w:p>
    <w:p w14:paraId="04191A70" w14:textId="692C209C" w:rsidR="4A6F696A" w:rsidRDefault="4A6F696A" w:rsidP="003408E6">
      <w:pPr>
        <w:pStyle w:val="Prrafodelista"/>
        <w:numPr>
          <w:ilvl w:val="0"/>
          <w:numId w:val="14"/>
        </w:numPr>
        <w:jc w:val="both"/>
        <w:rPr>
          <w:rFonts w:ascii="Calibri" w:eastAsia="Calibri" w:hAnsi="Calibri" w:cs="Calibri"/>
          <w:sz w:val="20"/>
          <w:szCs w:val="20"/>
          <w:lang w:val="es"/>
        </w:rPr>
      </w:pPr>
      <w:r w:rsidRPr="3C234025">
        <w:rPr>
          <w:rFonts w:ascii="Calibri" w:eastAsia="Calibri" w:hAnsi="Calibri" w:cs="Calibri"/>
          <w:sz w:val="20"/>
          <w:szCs w:val="20"/>
          <w:lang w:val="es"/>
        </w:rPr>
        <w:t>Durante el desarrollo del CONTRATO</w:t>
      </w:r>
      <w:r w:rsidRPr="3C234025">
        <w:rPr>
          <w:rFonts w:ascii="Calibri" w:eastAsia="Calibri" w:hAnsi="Calibri" w:cs="Calibri"/>
          <w:b/>
          <w:bCs/>
          <w:sz w:val="20"/>
          <w:szCs w:val="20"/>
          <w:lang w:val="es"/>
        </w:rPr>
        <w:t xml:space="preserve">, </w:t>
      </w:r>
      <w:r w:rsidRPr="3C234025">
        <w:rPr>
          <w:rFonts w:ascii="Calibri" w:eastAsia="Calibri" w:hAnsi="Calibri" w:cs="Calibri"/>
          <w:sz w:val="20"/>
          <w:szCs w:val="20"/>
          <w:lang w:val="es"/>
        </w:rPr>
        <w:t>el eventual CONTRATISTA</w:t>
      </w:r>
      <w:r w:rsidRPr="3C234025">
        <w:rPr>
          <w:rFonts w:ascii="Calibri" w:eastAsia="Calibri" w:hAnsi="Calibri" w:cs="Calibri"/>
          <w:b/>
          <w:bCs/>
          <w:sz w:val="20"/>
          <w:szCs w:val="20"/>
          <w:lang w:val="es"/>
        </w:rPr>
        <w:t xml:space="preserve"> </w:t>
      </w:r>
      <w:r w:rsidRPr="3C234025">
        <w:rPr>
          <w:rFonts w:ascii="Calibri" w:eastAsia="Calibri" w:hAnsi="Calibri" w:cs="Calibri"/>
          <w:sz w:val="20"/>
          <w:szCs w:val="20"/>
          <w:lang w:val="es"/>
        </w:rPr>
        <w:t>debe mantener aseado y ordenado los sitios de trabajo. Una vez terminados los trabajos, El eventual CONTRATISTA</w:t>
      </w:r>
      <w:r w:rsidRPr="3C234025">
        <w:rPr>
          <w:rFonts w:ascii="Calibri" w:eastAsia="Calibri" w:hAnsi="Calibri" w:cs="Calibri"/>
          <w:b/>
          <w:bCs/>
          <w:sz w:val="20"/>
          <w:szCs w:val="20"/>
          <w:lang w:val="es"/>
        </w:rPr>
        <w:t xml:space="preserve"> </w:t>
      </w:r>
      <w:r w:rsidRPr="3C234025">
        <w:rPr>
          <w:rFonts w:ascii="Calibri" w:eastAsia="Calibri" w:hAnsi="Calibri" w:cs="Calibri"/>
          <w:sz w:val="20"/>
          <w:szCs w:val="20"/>
          <w:lang w:val="es"/>
        </w:rPr>
        <w:t>debe recoger todos los materiales sobrantes y desechos, transportarlos y depositarlos en los sitios que apruebe la SUPERVISIÓN Y/O INTERVENTORÍA</w:t>
      </w:r>
      <w:r w:rsidRPr="3C234025">
        <w:rPr>
          <w:rFonts w:ascii="Calibri" w:eastAsia="Calibri" w:hAnsi="Calibri" w:cs="Calibri"/>
          <w:b/>
          <w:bCs/>
          <w:sz w:val="20"/>
          <w:szCs w:val="20"/>
          <w:lang w:val="es"/>
        </w:rPr>
        <w:t xml:space="preserve"> </w:t>
      </w:r>
      <w:r w:rsidRPr="3C234025">
        <w:rPr>
          <w:rFonts w:ascii="Calibri" w:eastAsia="Calibri" w:hAnsi="Calibri" w:cs="Calibri"/>
          <w:sz w:val="20"/>
          <w:szCs w:val="20"/>
          <w:lang w:val="es"/>
        </w:rPr>
        <w:t>para tal fin. El eventual CONTRATISTA</w:t>
      </w:r>
      <w:r w:rsidRPr="3C234025">
        <w:rPr>
          <w:rFonts w:ascii="Calibri" w:eastAsia="Calibri" w:hAnsi="Calibri" w:cs="Calibri"/>
          <w:b/>
          <w:bCs/>
          <w:sz w:val="20"/>
          <w:szCs w:val="20"/>
          <w:lang w:val="es"/>
        </w:rPr>
        <w:t xml:space="preserve"> </w:t>
      </w:r>
      <w:r w:rsidRPr="3C234025">
        <w:rPr>
          <w:rFonts w:ascii="Calibri" w:eastAsia="Calibri" w:hAnsi="Calibri" w:cs="Calibri"/>
          <w:sz w:val="20"/>
          <w:szCs w:val="20"/>
          <w:lang w:val="es"/>
        </w:rPr>
        <w:t>debe reparar los daños que hayan podido dejar los equipos que utilice durante la realización de los trabajos.</w:t>
      </w:r>
    </w:p>
    <w:p w14:paraId="6DBACC3E" w14:textId="79A9A0DC"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69740F04" w14:textId="589B09F5" w:rsidR="4A6F696A" w:rsidRDefault="4A6F696A" w:rsidP="62C29527">
      <w:pPr>
        <w:pStyle w:val="Ttulo1"/>
        <w:jc w:val="both"/>
        <w:rPr>
          <w:rFonts w:ascii="Calibri" w:eastAsia="Calibri" w:hAnsi="Calibri" w:cs="Calibri"/>
          <w:lang w:val="es"/>
        </w:rPr>
      </w:pPr>
      <w:bookmarkStart w:id="16" w:name="_Toc1192915028"/>
      <w:r w:rsidRPr="6F1EDA97">
        <w:rPr>
          <w:rFonts w:ascii="Calibri" w:eastAsia="Calibri" w:hAnsi="Calibri" w:cs="Calibri"/>
          <w:lang w:val="es"/>
        </w:rPr>
        <w:t>OBLIGACIONES DEL CONTRATISTA EN CUANTO AL TRANSPORTE E INSTALACIÓN DE EQUIPOS DE LABORATORIO</w:t>
      </w:r>
      <w:bookmarkEnd w:id="16"/>
    </w:p>
    <w:p w14:paraId="1EDC677B" w14:textId="7764724E" w:rsidR="3C234025" w:rsidRDefault="3C234025" w:rsidP="3C234025">
      <w:pPr>
        <w:pStyle w:val="Ttulo1"/>
        <w:numPr>
          <w:ilvl w:val="0"/>
          <w:numId w:val="0"/>
        </w:numPr>
        <w:ind w:left="360"/>
        <w:jc w:val="both"/>
        <w:rPr>
          <w:rFonts w:ascii="Calibri" w:eastAsia="Calibri" w:hAnsi="Calibri" w:cs="Calibri"/>
          <w:lang w:val="es"/>
        </w:rPr>
      </w:pPr>
    </w:p>
    <w:p w14:paraId="6E4C18CB" w14:textId="1B05857F"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62C29527">
        <w:rPr>
          <w:rFonts w:ascii="Calibri" w:eastAsia="Calibri" w:hAnsi="Calibri" w:cs="Calibri"/>
          <w:sz w:val="20"/>
          <w:szCs w:val="20"/>
          <w:lang w:val="es"/>
        </w:rPr>
        <w:t>El eventual CONTRATISTA es responsable del transporte de todos los equipos, materiales y herramientas requeridos para el suministro, instalación y puesta en marcha de los laboratorios tecnológicos FNCER y de movilidad eléctrica en cada IES. Los costos asociados al transporte serán por cuenta exclusiva del CONTRATISTA y deberán estar incorporados en su ofrecimiento económico.</w:t>
      </w:r>
    </w:p>
    <w:p w14:paraId="1E7370EE" w14:textId="604D6B88"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62C29527">
        <w:rPr>
          <w:rFonts w:ascii="Calibri" w:eastAsia="Calibri" w:hAnsi="Calibri" w:cs="Calibri"/>
          <w:sz w:val="20"/>
          <w:szCs w:val="20"/>
          <w:lang w:val="es"/>
        </w:rPr>
        <w:t>El transporte de los equipos de laboratorio deberá realizarse mediante procedimientos técnicos adecuados, con vehículos de capacidad suficiente y en buen estado. El CONTRATISTA será responsable de todos los daños que se ocasionen durante el cargue, transporte y descargue de equipos, garantizando la integridad física de los componentes hasta su entrega y puesta en marcha en cada IES.</w:t>
      </w:r>
    </w:p>
    <w:p w14:paraId="40C6BAF7" w14:textId="75915015"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62C29527">
        <w:rPr>
          <w:rFonts w:ascii="Calibri" w:eastAsia="Calibri" w:hAnsi="Calibri" w:cs="Calibri"/>
          <w:sz w:val="20"/>
          <w:szCs w:val="20"/>
          <w:lang w:val="es"/>
        </w:rPr>
        <w:t>El transporte de todo el personal vinculado con la ejecución del CONTRATO debe ser realizado por el CONTRATISTA bajo su entera responsabilidad, cumpliendo las normativas del Ministerio de Transporte vigentes. El transporte de personal en platones o carrocerías de vehículos automotores no está permitido.</w:t>
      </w:r>
    </w:p>
    <w:p w14:paraId="314C82DD" w14:textId="4EBC279C"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38A25E75">
        <w:rPr>
          <w:rFonts w:ascii="Calibri" w:eastAsia="Calibri" w:hAnsi="Calibri" w:cs="Calibri"/>
          <w:sz w:val="20"/>
          <w:szCs w:val="20"/>
          <w:lang w:val="es"/>
        </w:rPr>
        <w:t xml:space="preserve">Al inicio del CONTRATO el CONTRATISTA deberá informar a la SUPERVISIÓN Y/O INTERVENTORÍA todos los vehículos que utilizará en la ejecución del </w:t>
      </w:r>
      <w:r w:rsidR="31439DD3" w:rsidRPr="38A25E75">
        <w:rPr>
          <w:rFonts w:ascii="Calibri" w:eastAsia="Calibri" w:hAnsi="Calibri" w:cs="Calibri"/>
          <w:sz w:val="20"/>
          <w:szCs w:val="20"/>
          <w:lang w:val="es"/>
        </w:rPr>
        <w:t>contra</w:t>
      </w:r>
      <w:r w:rsidRPr="38A25E75">
        <w:rPr>
          <w:rFonts w:ascii="Calibri" w:eastAsia="Calibri" w:hAnsi="Calibri" w:cs="Calibri"/>
          <w:sz w:val="20"/>
          <w:szCs w:val="20"/>
          <w:lang w:val="es"/>
        </w:rPr>
        <w:t>to, indicando: placa, modelo, tipo, tarjeta de propiedad, pólizas de seguro y SOAT vigentes.</w:t>
      </w:r>
    </w:p>
    <w:p w14:paraId="12FF7071" w14:textId="47ECCD0B"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62C29527">
        <w:rPr>
          <w:rFonts w:ascii="Calibri" w:eastAsia="Calibri" w:hAnsi="Calibri" w:cs="Calibri"/>
          <w:sz w:val="20"/>
          <w:szCs w:val="20"/>
          <w:lang w:val="es"/>
        </w:rPr>
        <w:t>Durante el suministro e instalación de equipos en las IES el CONTRATISTA deberá:</w:t>
      </w:r>
    </w:p>
    <w:p w14:paraId="40422637" w14:textId="5C418ACF"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62C29527">
        <w:rPr>
          <w:rFonts w:ascii="Calibri" w:eastAsia="Calibri" w:hAnsi="Calibri" w:cs="Calibri"/>
          <w:sz w:val="20"/>
          <w:szCs w:val="20"/>
          <w:lang w:val="es"/>
        </w:rPr>
        <w:t>Embalar y proteger adecuadamente los equipos durante su traslado para prevenir daños mecánicos, humedad o contaminación, siguiendo las recomendaciones del fabricante para embalaje y manipulación.</w:t>
      </w:r>
    </w:p>
    <w:p w14:paraId="05330E15" w14:textId="4841DCF9"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62C29527">
        <w:rPr>
          <w:rFonts w:ascii="Calibri" w:eastAsia="Calibri" w:hAnsi="Calibri" w:cs="Calibri"/>
          <w:sz w:val="20"/>
          <w:szCs w:val="20"/>
          <w:lang w:val="es"/>
        </w:rPr>
        <w:t>Verificar el estado e integridad de los equipos a la llegada a cada IES, dejando constancia fotográfica y por escrito ante la SUPERVISIÓN Y/O INTERVENTORÍA de cualquier novedad, daño o faltante detectado.</w:t>
      </w:r>
    </w:p>
    <w:p w14:paraId="40ECF9B5" w14:textId="47F73A4C"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62C29527">
        <w:rPr>
          <w:rFonts w:ascii="Calibri" w:eastAsia="Calibri" w:hAnsi="Calibri" w:cs="Calibri"/>
          <w:sz w:val="20"/>
          <w:szCs w:val="20"/>
          <w:lang w:val="es"/>
        </w:rPr>
        <w:t>Tramitar ante las autoridades competentes los permisos de transporte especial que apliquen para equipos de gran tamaño o peso, cuando corresponda.</w:t>
      </w:r>
    </w:p>
    <w:p w14:paraId="14F15BCE" w14:textId="07B79826"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62C29527">
        <w:rPr>
          <w:rFonts w:ascii="Calibri" w:eastAsia="Calibri" w:hAnsi="Calibri" w:cs="Calibri"/>
          <w:sz w:val="20"/>
          <w:szCs w:val="20"/>
          <w:lang w:val="es"/>
        </w:rPr>
        <w:t>Coordinar con cada IES los accesos, horarios y rutas de ingreso de los equipos, respetando las condiciones de seguridad, reglamentos internos e infraestructura de cada institución.</w:t>
      </w:r>
    </w:p>
    <w:p w14:paraId="10C1CC00" w14:textId="316EA277"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38A25E75">
        <w:rPr>
          <w:rFonts w:ascii="Calibri" w:eastAsia="Calibri" w:hAnsi="Calibri" w:cs="Calibri"/>
          <w:sz w:val="20"/>
          <w:szCs w:val="20"/>
          <w:lang w:val="es"/>
        </w:rPr>
        <w:t xml:space="preserve">Llevar un registro de la huella de carbono generada por los vehículos utilizados en el desarrollo del </w:t>
      </w:r>
      <w:r w:rsidR="14FDCE06" w:rsidRPr="38A25E75">
        <w:rPr>
          <w:rFonts w:ascii="Calibri" w:eastAsia="Calibri" w:hAnsi="Calibri" w:cs="Calibri"/>
          <w:sz w:val="20"/>
          <w:szCs w:val="20"/>
          <w:lang w:val="es"/>
        </w:rPr>
        <w:t xml:space="preserve">contrato </w:t>
      </w:r>
      <w:r w:rsidRPr="38A25E75">
        <w:rPr>
          <w:rFonts w:ascii="Calibri" w:eastAsia="Calibri" w:hAnsi="Calibri" w:cs="Calibri"/>
          <w:sz w:val="20"/>
          <w:szCs w:val="20"/>
          <w:lang w:val="es"/>
        </w:rPr>
        <w:t>y proponer acciones para reducir el impacto ambiental asociado.</w:t>
      </w:r>
    </w:p>
    <w:p w14:paraId="5880083E" w14:textId="0A00DDD3"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3C234025">
        <w:rPr>
          <w:rFonts w:ascii="Calibri" w:eastAsia="Calibri" w:hAnsi="Calibri" w:cs="Calibri"/>
          <w:sz w:val="20"/>
          <w:szCs w:val="20"/>
          <w:lang w:val="es"/>
        </w:rPr>
        <w:t>Los costos por operación y mantenimiento de los vehículos —combustibles, peajes y reparaciones— son responsabilidad exclusiva del CONTRATISTA.</w:t>
      </w:r>
    </w:p>
    <w:p w14:paraId="6CDCCEA3" w14:textId="53E04A0D" w:rsidR="3C234025" w:rsidRDefault="3C234025" w:rsidP="3C234025">
      <w:pPr>
        <w:pStyle w:val="Prrafodelista"/>
        <w:ind w:left="361" w:hanging="361"/>
        <w:jc w:val="both"/>
        <w:rPr>
          <w:rFonts w:ascii="Calibri" w:eastAsia="Calibri" w:hAnsi="Calibri" w:cs="Calibri"/>
          <w:sz w:val="20"/>
          <w:szCs w:val="20"/>
          <w:lang w:val="es"/>
        </w:rPr>
      </w:pPr>
    </w:p>
    <w:p w14:paraId="62222DAA" w14:textId="082A4232" w:rsidR="4A6F696A" w:rsidRDefault="4A6F696A" w:rsidP="62C29527">
      <w:pPr>
        <w:pStyle w:val="Ttulo1"/>
        <w:jc w:val="both"/>
        <w:rPr>
          <w:rFonts w:ascii="Calibri" w:eastAsia="Calibri" w:hAnsi="Calibri" w:cs="Calibri"/>
          <w:lang w:val="es"/>
        </w:rPr>
      </w:pPr>
      <w:bookmarkStart w:id="17" w:name="_Toc1469126739"/>
      <w:r w:rsidRPr="6F1EDA97">
        <w:rPr>
          <w:rFonts w:ascii="Calibri" w:eastAsia="Calibri" w:hAnsi="Calibri" w:cs="Calibri"/>
          <w:lang w:val="es"/>
        </w:rPr>
        <w:t>OBLIGACIONES DEL EVENTUAL CONTRATISTA EN CUANTO AL ASEGURAMIENTO DE LA CALIDAD</w:t>
      </w:r>
      <w:bookmarkEnd w:id="17"/>
    </w:p>
    <w:p w14:paraId="3B0AC199" w14:textId="0A5E48FE" w:rsidR="4A6F696A" w:rsidRDefault="4A6F696A" w:rsidP="62C29527">
      <w:pPr>
        <w:jc w:val="both"/>
        <w:rPr>
          <w:rFonts w:ascii="Calibri" w:eastAsia="Calibri" w:hAnsi="Calibri" w:cs="Calibri"/>
          <w:b/>
          <w:bCs/>
          <w:i/>
          <w:iCs/>
          <w:sz w:val="20"/>
          <w:szCs w:val="20"/>
          <w:lang w:val="es"/>
        </w:rPr>
      </w:pPr>
      <w:r w:rsidRPr="62C29527">
        <w:rPr>
          <w:rFonts w:ascii="Calibri" w:eastAsia="Calibri" w:hAnsi="Calibri" w:cs="Calibri"/>
          <w:b/>
          <w:bCs/>
          <w:i/>
          <w:iCs/>
          <w:sz w:val="20"/>
          <w:szCs w:val="20"/>
          <w:lang w:val="es"/>
        </w:rPr>
        <w:t xml:space="preserve"> </w:t>
      </w:r>
    </w:p>
    <w:p w14:paraId="0AAEC420" w14:textId="7CA138CF"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38A25E75">
        <w:rPr>
          <w:rFonts w:ascii="Calibri" w:eastAsia="Calibri" w:hAnsi="Calibri" w:cs="Calibri"/>
          <w:sz w:val="20"/>
          <w:szCs w:val="20"/>
          <w:lang w:val="es"/>
        </w:rPr>
        <w:t>Asegurar los recursos de mano de obra que se requieran para atender la implementación de</w:t>
      </w:r>
      <w:r w:rsidR="1B9FD13B" w:rsidRPr="38A25E75">
        <w:rPr>
          <w:rFonts w:ascii="Calibri" w:eastAsia="Calibri" w:hAnsi="Calibri" w:cs="Calibri"/>
          <w:sz w:val="20"/>
          <w:szCs w:val="20"/>
          <w:lang w:val="es"/>
        </w:rPr>
        <w:t xml:space="preserve"> la iniciativa</w:t>
      </w:r>
      <w:r w:rsidRPr="38A25E75">
        <w:rPr>
          <w:rFonts w:ascii="Calibri" w:eastAsia="Calibri" w:hAnsi="Calibri" w:cs="Calibri"/>
          <w:sz w:val="20"/>
          <w:szCs w:val="20"/>
          <w:lang w:val="es"/>
        </w:rPr>
        <w:t>.</w:t>
      </w:r>
    </w:p>
    <w:p w14:paraId="2B57BC80" w14:textId="7F59AC7B"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38A25E75">
        <w:rPr>
          <w:rFonts w:ascii="Calibri" w:eastAsia="Calibri" w:hAnsi="Calibri" w:cs="Calibri"/>
          <w:sz w:val="20"/>
          <w:szCs w:val="20"/>
          <w:lang w:val="es"/>
        </w:rPr>
        <w:t>Asegurar la conformidad de producto con el RETIE, para todos los materiales utilizados en los sistemas fotovoltaicos e instalaciones eléctricas de</w:t>
      </w:r>
      <w:r w:rsidR="12D63AA5" w:rsidRPr="38A25E75">
        <w:rPr>
          <w:rFonts w:ascii="Calibri" w:eastAsia="Calibri" w:hAnsi="Calibri" w:cs="Calibri"/>
          <w:sz w:val="20"/>
          <w:szCs w:val="20"/>
          <w:lang w:val="es"/>
        </w:rPr>
        <w:t xml:space="preserve"> la iniciativa</w:t>
      </w:r>
      <w:r w:rsidRPr="38A25E75">
        <w:rPr>
          <w:rFonts w:ascii="Calibri" w:eastAsia="Calibri" w:hAnsi="Calibri" w:cs="Calibri"/>
          <w:sz w:val="20"/>
          <w:szCs w:val="20"/>
          <w:lang w:val="es"/>
        </w:rPr>
        <w:t>.</w:t>
      </w:r>
    </w:p>
    <w:p w14:paraId="43C53DC7" w14:textId="11AEBA70"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62C29527">
        <w:rPr>
          <w:rFonts w:ascii="Calibri" w:eastAsia="Calibri" w:hAnsi="Calibri" w:cs="Calibri"/>
          <w:sz w:val="20"/>
          <w:szCs w:val="20"/>
          <w:lang w:val="es"/>
        </w:rPr>
        <w:t>Garantizar la conformidad de las instalaciones eléctricas con el RETIE.</w:t>
      </w:r>
    </w:p>
    <w:p w14:paraId="3C356541" w14:textId="67B36863"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38A25E75">
        <w:rPr>
          <w:rFonts w:ascii="Calibri" w:eastAsia="Calibri" w:hAnsi="Calibri" w:cs="Calibri"/>
          <w:sz w:val="20"/>
          <w:szCs w:val="20"/>
          <w:lang w:val="es"/>
        </w:rPr>
        <w:t>Generar alternativas viables de mejora durante la implementación de</w:t>
      </w:r>
      <w:r w:rsidR="5AAE6805" w:rsidRPr="38A25E75">
        <w:rPr>
          <w:rFonts w:ascii="Calibri" w:eastAsia="Calibri" w:hAnsi="Calibri" w:cs="Calibri"/>
          <w:sz w:val="20"/>
          <w:szCs w:val="20"/>
          <w:lang w:val="es"/>
        </w:rPr>
        <w:t xml:space="preserve"> la iniciativa</w:t>
      </w:r>
      <w:r w:rsidRPr="38A25E75">
        <w:rPr>
          <w:rFonts w:ascii="Calibri" w:eastAsia="Calibri" w:hAnsi="Calibri" w:cs="Calibri"/>
          <w:sz w:val="20"/>
          <w:szCs w:val="20"/>
          <w:lang w:val="es"/>
        </w:rPr>
        <w:t>.</w:t>
      </w:r>
    </w:p>
    <w:p w14:paraId="2001FF29" w14:textId="261AD49B"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62C29527">
        <w:rPr>
          <w:rFonts w:ascii="Calibri" w:eastAsia="Calibri" w:hAnsi="Calibri" w:cs="Calibri"/>
          <w:sz w:val="20"/>
          <w:szCs w:val="20"/>
          <w:lang w:val="es"/>
        </w:rPr>
        <w:t>Establecer los procedimientos de trabajo para la ejecución segura de los mismos.</w:t>
      </w:r>
    </w:p>
    <w:p w14:paraId="51C7CA69" w14:textId="49B8EDA4"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38A25E75">
        <w:rPr>
          <w:rFonts w:ascii="Calibri" w:eastAsia="Calibri" w:hAnsi="Calibri" w:cs="Calibri"/>
          <w:sz w:val="20"/>
          <w:szCs w:val="20"/>
          <w:lang w:val="es"/>
        </w:rPr>
        <w:t>Efectuar levantamiento previo en campo de toda la información técnica, administrativa, ambiental, seguridad y salud en el trabajo y social, necesarias para la realización de las actividades de implementación de</w:t>
      </w:r>
      <w:r w:rsidR="2C202C23" w:rsidRPr="38A25E75">
        <w:rPr>
          <w:rFonts w:ascii="Calibri" w:eastAsia="Calibri" w:hAnsi="Calibri" w:cs="Calibri"/>
          <w:sz w:val="20"/>
          <w:szCs w:val="20"/>
          <w:lang w:val="es"/>
        </w:rPr>
        <w:t xml:space="preserve"> la iniciativa</w:t>
      </w:r>
      <w:r w:rsidRPr="38A25E75">
        <w:rPr>
          <w:rFonts w:ascii="Calibri" w:eastAsia="Calibri" w:hAnsi="Calibri" w:cs="Calibri"/>
          <w:sz w:val="20"/>
          <w:szCs w:val="20"/>
          <w:lang w:val="es"/>
        </w:rPr>
        <w:t>.</w:t>
      </w:r>
    </w:p>
    <w:p w14:paraId="66FD395A" w14:textId="57488A69"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38A25E75">
        <w:rPr>
          <w:rFonts w:ascii="Calibri" w:eastAsia="Calibri" w:hAnsi="Calibri" w:cs="Calibri"/>
          <w:sz w:val="20"/>
          <w:szCs w:val="20"/>
          <w:lang w:val="es"/>
        </w:rPr>
        <w:t>Efectuar informes y justificar cambios con respecto a los preliminares de factibilidades entregadas, especificaciones técnicas de construcción y presupuestos.</w:t>
      </w:r>
    </w:p>
    <w:p w14:paraId="33240329" w14:textId="4AD4104D" w:rsidR="4A6F696A" w:rsidRDefault="4A6F696A" w:rsidP="003408E6">
      <w:pPr>
        <w:pStyle w:val="Prrafodelista"/>
        <w:numPr>
          <w:ilvl w:val="0"/>
          <w:numId w:val="13"/>
        </w:numPr>
        <w:ind w:left="361" w:hanging="361"/>
        <w:jc w:val="both"/>
        <w:rPr>
          <w:rFonts w:ascii="Calibri" w:eastAsia="Calibri" w:hAnsi="Calibri" w:cs="Calibri"/>
          <w:sz w:val="20"/>
          <w:szCs w:val="20"/>
          <w:lang w:val="es"/>
        </w:rPr>
      </w:pPr>
      <w:r w:rsidRPr="38A25E75">
        <w:rPr>
          <w:rFonts w:ascii="Calibri" w:eastAsia="Calibri" w:hAnsi="Calibri" w:cs="Calibri"/>
          <w:sz w:val="20"/>
          <w:szCs w:val="20"/>
          <w:lang w:val="es"/>
        </w:rPr>
        <w:t>Organizar toda la documentación necesaria para la ejecución de las actividades de implementación de</w:t>
      </w:r>
      <w:r w:rsidR="2EF0FB06" w:rsidRPr="38A25E75">
        <w:rPr>
          <w:rFonts w:ascii="Calibri" w:eastAsia="Calibri" w:hAnsi="Calibri" w:cs="Calibri"/>
          <w:sz w:val="20"/>
          <w:szCs w:val="20"/>
          <w:lang w:val="es"/>
        </w:rPr>
        <w:t xml:space="preserve"> la iniciativa</w:t>
      </w:r>
      <w:r w:rsidRPr="38A25E75">
        <w:rPr>
          <w:rFonts w:ascii="Calibri" w:eastAsia="Calibri" w:hAnsi="Calibri" w:cs="Calibri"/>
          <w:sz w:val="20"/>
          <w:szCs w:val="20"/>
          <w:lang w:val="es"/>
        </w:rPr>
        <w:t>.</w:t>
      </w:r>
    </w:p>
    <w:p w14:paraId="2AA12D68" w14:textId="657EB740" w:rsidR="4A6F696A" w:rsidRDefault="4A6F696A" w:rsidP="38A25E75">
      <w:pPr>
        <w:pStyle w:val="Prrafodelista"/>
        <w:numPr>
          <w:ilvl w:val="0"/>
          <w:numId w:val="13"/>
        </w:numPr>
        <w:ind w:left="361" w:hanging="361"/>
        <w:jc w:val="both"/>
        <w:rPr>
          <w:rFonts w:ascii="Calibri" w:eastAsia="Calibri" w:hAnsi="Calibri" w:cs="Calibri"/>
          <w:sz w:val="20"/>
          <w:szCs w:val="20"/>
        </w:rPr>
      </w:pPr>
      <w:r w:rsidRPr="38A25E75">
        <w:rPr>
          <w:rFonts w:ascii="Calibri" w:eastAsia="Calibri" w:hAnsi="Calibri" w:cs="Calibri"/>
          <w:sz w:val="20"/>
          <w:szCs w:val="20"/>
        </w:rPr>
        <w:t>Velar por el buen desempeño del equipo de ejecución de</w:t>
      </w:r>
      <w:r w:rsidR="71C2D6B0" w:rsidRPr="38A25E75">
        <w:rPr>
          <w:rFonts w:ascii="Calibri" w:eastAsia="Calibri" w:hAnsi="Calibri" w:cs="Calibri"/>
          <w:sz w:val="20"/>
          <w:szCs w:val="20"/>
        </w:rPr>
        <w:t>l contrato</w:t>
      </w:r>
      <w:r w:rsidRPr="38A25E75">
        <w:rPr>
          <w:rFonts w:ascii="Calibri" w:eastAsia="Calibri" w:hAnsi="Calibri" w:cs="Calibri"/>
          <w:sz w:val="20"/>
          <w:szCs w:val="20"/>
        </w:rPr>
        <w:t>, con el cumplimiento y cierre al 100% de l</w:t>
      </w:r>
      <w:r w:rsidR="6D5F6366" w:rsidRPr="38A25E75">
        <w:rPr>
          <w:rFonts w:ascii="Calibri" w:eastAsia="Calibri" w:hAnsi="Calibri" w:cs="Calibri"/>
          <w:sz w:val="20"/>
          <w:szCs w:val="20"/>
        </w:rPr>
        <w:t>os producto</w:t>
      </w:r>
      <w:r w:rsidRPr="38A25E75">
        <w:rPr>
          <w:rFonts w:ascii="Calibri" w:eastAsia="Calibri" w:hAnsi="Calibri" w:cs="Calibri"/>
          <w:sz w:val="20"/>
          <w:szCs w:val="20"/>
        </w:rPr>
        <w:t>s.</w:t>
      </w:r>
    </w:p>
    <w:p w14:paraId="19A662F4" w14:textId="45A521C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6D0DDE4" w14:textId="6E3A0695" w:rsidR="4A6F696A" w:rsidRDefault="4A6F696A" w:rsidP="62C29527">
      <w:pPr>
        <w:pStyle w:val="Ttulo1"/>
        <w:jc w:val="both"/>
        <w:rPr>
          <w:rFonts w:ascii="Calibri" w:eastAsia="Calibri" w:hAnsi="Calibri" w:cs="Calibri"/>
          <w:lang w:val="es"/>
        </w:rPr>
      </w:pPr>
      <w:bookmarkStart w:id="18" w:name="_Toc214568545"/>
      <w:r w:rsidRPr="6F1EDA97">
        <w:rPr>
          <w:rFonts w:ascii="Calibri" w:eastAsia="Calibri" w:hAnsi="Calibri" w:cs="Calibri"/>
          <w:lang w:val="es"/>
        </w:rPr>
        <w:t>COMISIONAMIENTO</w:t>
      </w:r>
      <w:bookmarkEnd w:id="18"/>
    </w:p>
    <w:p w14:paraId="2C069209" w14:textId="02FA43BB"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14F5DD8" w14:textId="77456517" w:rsidR="4A6F696A" w:rsidRDefault="4A6F696A" w:rsidP="62C29527">
      <w:pPr>
        <w:jc w:val="both"/>
        <w:rPr>
          <w:rFonts w:ascii="Calibri" w:eastAsia="Calibri" w:hAnsi="Calibri" w:cs="Calibri"/>
          <w:sz w:val="20"/>
          <w:szCs w:val="20"/>
        </w:rPr>
      </w:pPr>
      <w:r w:rsidRPr="62C29527">
        <w:rPr>
          <w:rFonts w:ascii="Calibri" w:eastAsia="Calibri" w:hAnsi="Calibri" w:cs="Calibri"/>
          <w:sz w:val="20"/>
          <w:szCs w:val="20"/>
        </w:rPr>
        <w:t>Para el comisionamiento del SSFV y las instalaciones eléctricas internas, se deben considerar las siguientes pruebas sin limitarse exclusivamente a estas:</w:t>
      </w:r>
    </w:p>
    <w:p w14:paraId="1BBFFF4B" w14:textId="55649227"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923DCAD" w14:textId="31E50788" w:rsidR="4A6F696A" w:rsidRDefault="303EB8D3" w:rsidP="3C234025">
      <w:pPr>
        <w:pStyle w:val="Ttulo2"/>
        <w:ind w:left="478"/>
        <w:jc w:val="both"/>
        <w:rPr>
          <w:rFonts w:ascii="Calibri" w:eastAsia="Calibri" w:hAnsi="Calibri" w:cs="Calibri"/>
          <w:lang w:val="es"/>
        </w:rPr>
      </w:pPr>
      <w:bookmarkStart w:id="19" w:name="_Toc1456123646"/>
      <w:r w:rsidRPr="6F1EDA97">
        <w:rPr>
          <w:rFonts w:ascii="Calibri" w:eastAsia="Calibri" w:hAnsi="Calibri" w:cs="Calibri"/>
          <w:lang w:val="es"/>
        </w:rPr>
        <w:t xml:space="preserve">9.1 </w:t>
      </w:r>
      <w:r w:rsidR="4A6F696A" w:rsidRPr="6F1EDA97">
        <w:rPr>
          <w:rFonts w:ascii="Calibri" w:eastAsia="Calibri" w:hAnsi="Calibri" w:cs="Calibri"/>
          <w:lang w:val="es"/>
        </w:rPr>
        <w:t>Pruebas para SSFV</w:t>
      </w:r>
      <w:bookmarkEnd w:id="19"/>
    </w:p>
    <w:p w14:paraId="26EC4ABA" w14:textId="5FF1005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B98CC29" w14:textId="71E05AA9" w:rsidR="4A6F696A" w:rsidRDefault="4A6F696A" w:rsidP="003408E6">
      <w:pPr>
        <w:pStyle w:val="Prrafodelista"/>
        <w:numPr>
          <w:ilvl w:val="2"/>
          <w:numId w:val="33"/>
        </w:numPr>
        <w:ind w:left="596" w:hanging="360"/>
        <w:jc w:val="both"/>
        <w:rPr>
          <w:rFonts w:ascii="Calibri" w:eastAsia="Calibri" w:hAnsi="Calibri" w:cs="Calibri"/>
          <w:b/>
          <w:bCs/>
          <w:sz w:val="20"/>
          <w:szCs w:val="20"/>
          <w:lang w:val="es"/>
        </w:rPr>
      </w:pPr>
      <w:r w:rsidRPr="62C29527">
        <w:rPr>
          <w:rFonts w:ascii="Calibri" w:eastAsia="Calibri" w:hAnsi="Calibri" w:cs="Calibri"/>
          <w:b/>
          <w:bCs/>
          <w:sz w:val="20"/>
          <w:szCs w:val="20"/>
          <w:lang w:val="es"/>
        </w:rPr>
        <w:t>Inspección Visual Previa</w:t>
      </w:r>
    </w:p>
    <w:p w14:paraId="17CFDC63" w14:textId="15A1EDDC"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04AAF63" w14:textId="03483693"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Verificar la correcta instalación de los paneles solares, soportes, estructuras y todos los equipos que hacen parte de los SSFV.</w:t>
      </w:r>
    </w:p>
    <w:p w14:paraId="0B57B34D" w14:textId="15B30BC8"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Revisar la integridad de los paneles solares, cables, conectores, canalizaciones y todos los elementos que hacen parte de los SSFV.</w:t>
      </w:r>
    </w:p>
    <w:p w14:paraId="51AC5485" w14:textId="15B290C0" w:rsidR="4A6F696A" w:rsidRDefault="4A6F696A" w:rsidP="003408E6">
      <w:pPr>
        <w:pStyle w:val="Prrafodelista"/>
        <w:numPr>
          <w:ilvl w:val="0"/>
          <w:numId w:val="12"/>
        </w:numPr>
        <w:ind w:left="838"/>
        <w:jc w:val="both"/>
        <w:rPr>
          <w:rFonts w:ascii="Calibri" w:eastAsia="Calibri" w:hAnsi="Calibri" w:cs="Calibri"/>
          <w:sz w:val="20"/>
          <w:szCs w:val="20"/>
        </w:rPr>
      </w:pPr>
      <w:r w:rsidRPr="62C29527">
        <w:rPr>
          <w:rFonts w:ascii="Calibri" w:eastAsia="Calibri" w:hAnsi="Calibri" w:cs="Calibri"/>
          <w:sz w:val="20"/>
          <w:szCs w:val="20"/>
        </w:rPr>
        <w:t>Asegurar que no haya sombreados u obstrucciones que afecten la eficiencia del sistema.</w:t>
      </w:r>
    </w:p>
    <w:p w14:paraId="253C56F1" w14:textId="456055A8"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Verificar la fijación de los módulos para cumplir con los cálculos de cimentación.</w:t>
      </w:r>
    </w:p>
    <w:p w14:paraId="4E7F4CE3" w14:textId="06688AB1" w:rsidR="4A6F696A" w:rsidRDefault="4A6F696A" w:rsidP="62C29527">
      <w:pPr>
        <w:jc w:val="both"/>
        <w:rPr>
          <w:rFonts w:ascii="Calibri" w:eastAsia="Calibri" w:hAnsi="Calibri" w:cs="Calibri"/>
          <w:sz w:val="20"/>
          <w:szCs w:val="20"/>
          <w:lang w:val="es"/>
        </w:rPr>
      </w:pPr>
      <w:r w:rsidRPr="3C234025">
        <w:rPr>
          <w:rFonts w:ascii="Calibri" w:eastAsia="Calibri" w:hAnsi="Calibri" w:cs="Calibri"/>
          <w:sz w:val="20"/>
          <w:szCs w:val="20"/>
          <w:lang w:val="es"/>
        </w:rPr>
        <w:t xml:space="preserve"> </w:t>
      </w:r>
    </w:p>
    <w:p w14:paraId="5768770E" w14:textId="20B8DB07" w:rsidR="3C234025" w:rsidRDefault="3C234025" w:rsidP="3C234025">
      <w:pPr>
        <w:jc w:val="both"/>
        <w:rPr>
          <w:rFonts w:ascii="Calibri" w:eastAsia="Calibri" w:hAnsi="Calibri" w:cs="Calibri"/>
          <w:sz w:val="20"/>
          <w:szCs w:val="20"/>
          <w:lang w:val="es"/>
        </w:rPr>
      </w:pPr>
    </w:p>
    <w:p w14:paraId="5551345F" w14:textId="6C06B83E" w:rsidR="4A6F696A" w:rsidRDefault="4A6F696A" w:rsidP="003408E6">
      <w:pPr>
        <w:pStyle w:val="Prrafodelista"/>
        <w:numPr>
          <w:ilvl w:val="2"/>
          <w:numId w:val="33"/>
        </w:numPr>
        <w:ind w:left="596" w:hanging="360"/>
        <w:jc w:val="both"/>
        <w:rPr>
          <w:rFonts w:ascii="Calibri" w:eastAsia="Calibri" w:hAnsi="Calibri" w:cs="Calibri"/>
          <w:b/>
          <w:bCs/>
          <w:sz w:val="20"/>
          <w:szCs w:val="20"/>
          <w:lang w:val="es"/>
        </w:rPr>
      </w:pPr>
      <w:r w:rsidRPr="62C29527">
        <w:rPr>
          <w:rFonts w:ascii="Calibri" w:eastAsia="Calibri" w:hAnsi="Calibri" w:cs="Calibri"/>
          <w:b/>
          <w:bCs/>
          <w:sz w:val="20"/>
          <w:szCs w:val="20"/>
          <w:lang w:val="es"/>
        </w:rPr>
        <w:t>Prueba de Continuidad y Aislamiento</w:t>
      </w:r>
    </w:p>
    <w:p w14:paraId="5C49A77E" w14:textId="0E9DA24A"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6A260263" w14:textId="0DD76168"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Continuidad: Asegurar que no haya interrupciones en los circuitos eléctricos.</w:t>
      </w:r>
    </w:p>
    <w:p w14:paraId="2447917E" w14:textId="00E56A3A"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Prueba de aislamiento: Medir la resistencia de aislamiento de los cables de corriente continua (DC) y corriente alterna (AC) para asegurar la seguridad del sistema.</w:t>
      </w:r>
    </w:p>
    <w:p w14:paraId="0C0BFF47" w14:textId="5FCD74EE"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FAA1CE4" w14:textId="59A2D3D3" w:rsidR="4A6F696A" w:rsidRDefault="4A6F696A" w:rsidP="003408E6">
      <w:pPr>
        <w:pStyle w:val="Prrafodelista"/>
        <w:numPr>
          <w:ilvl w:val="2"/>
          <w:numId w:val="33"/>
        </w:numPr>
        <w:ind w:left="596" w:hanging="360"/>
        <w:jc w:val="both"/>
        <w:rPr>
          <w:rFonts w:ascii="Calibri" w:eastAsia="Calibri" w:hAnsi="Calibri" w:cs="Calibri"/>
          <w:b/>
          <w:bCs/>
          <w:sz w:val="20"/>
          <w:szCs w:val="20"/>
          <w:lang w:val="es"/>
        </w:rPr>
      </w:pPr>
      <w:r w:rsidRPr="62C29527">
        <w:rPr>
          <w:rFonts w:ascii="Calibri" w:eastAsia="Calibri" w:hAnsi="Calibri" w:cs="Calibri"/>
          <w:b/>
          <w:bCs/>
          <w:sz w:val="20"/>
          <w:szCs w:val="20"/>
          <w:lang w:val="es"/>
        </w:rPr>
        <w:t>Prueba de Polaridad</w:t>
      </w:r>
    </w:p>
    <w:p w14:paraId="443A2775" w14:textId="463D7C5A"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CCD8C23" w14:textId="674678FF"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Comprobar la correcta polaridad de los módulos fotovoltaicos y conexiones entre ellos, evitando errores en la instalación.</w:t>
      </w:r>
    </w:p>
    <w:p w14:paraId="1C5363A2" w14:textId="462AE361"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D9970DE" w14:textId="1BD732BC" w:rsidR="4A6F696A" w:rsidRDefault="4A6F696A" w:rsidP="003408E6">
      <w:pPr>
        <w:pStyle w:val="Prrafodelista"/>
        <w:numPr>
          <w:ilvl w:val="2"/>
          <w:numId w:val="33"/>
        </w:numPr>
        <w:ind w:left="596" w:hanging="360"/>
        <w:jc w:val="both"/>
        <w:rPr>
          <w:rFonts w:ascii="Calibri" w:eastAsia="Calibri" w:hAnsi="Calibri" w:cs="Calibri"/>
          <w:b/>
          <w:bCs/>
          <w:sz w:val="20"/>
          <w:szCs w:val="20"/>
          <w:lang w:val="es"/>
        </w:rPr>
      </w:pPr>
      <w:r w:rsidRPr="62C29527">
        <w:rPr>
          <w:rFonts w:ascii="Calibri" w:eastAsia="Calibri" w:hAnsi="Calibri" w:cs="Calibri"/>
          <w:b/>
          <w:bCs/>
          <w:sz w:val="20"/>
          <w:szCs w:val="20"/>
          <w:lang w:val="es"/>
        </w:rPr>
        <w:t>Prueba de Impedancia a Tierra</w:t>
      </w:r>
    </w:p>
    <w:p w14:paraId="4F533E3B" w14:textId="1293AE38"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B65864B" w14:textId="47883F17"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Medir la resistencia a tierra para asegurar que el sistema está correctamente aterrizado, lo cual es esencial para la seguridad y el funcionamiento del sistema.</w:t>
      </w:r>
    </w:p>
    <w:p w14:paraId="534A66A8" w14:textId="452B7B81"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26D31814" w14:textId="140D0CD4" w:rsidR="4A6F696A" w:rsidRDefault="4A6F696A" w:rsidP="003408E6">
      <w:pPr>
        <w:pStyle w:val="Prrafodelista"/>
        <w:numPr>
          <w:ilvl w:val="2"/>
          <w:numId w:val="33"/>
        </w:numPr>
        <w:ind w:left="596" w:hanging="360"/>
        <w:jc w:val="both"/>
        <w:rPr>
          <w:rFonts w:ascii="Calibri" w:eastAsia="Calibri" w:hAnsi="Calibri" w:cs="Calibri"/>
          <w:b/>
          <w:bCs/>
          <w:sz w:val="20"/>
          <w:szCs w:val="20"/>
        </w:rPr>
      </w:pPr>
      <w:r w:rsidRPr="62C29527">
        <w:rPr>
          <w:rFonts w:ascii="Calibri" w:eastAsia="Calibri" w:hAnsi="Calibri" w:cs="Calibri"/>
          <w:b/>
          <w:bCs/>
          <w:sz w:val="20"/>
          <w:szCs w:val="20"/>
        </w:rPr>
        <w:t>Pruebas de Cortocircuito y Open Circuit Voltage (Voc)</w:t>
      </w:r>
    </w:p>
    <w:p w14:paraId="4478C794" w14:textId="2A61B2FC"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76E2DDB" w14:textId="43A5E564" w:rsidR="4A6F696A" w:rsidRDefault="4A6F696A" w:rsidP="003408E6">
      <w:pPr>
        <w:pStyle w:val="Prrafodelista"/>
        <w:numPr>
          <w:ilvl w:val="0"/>
          <w:numId w:val="12"/>
        </w:numPr>
        <w:ind w:left="838"/>
        <w:jc w:val="both"/>
        <w:rPr>
          <w:rFonts w:ascii="Calibri" w:eastAsia="Calibri" w:hAnsi="Calibri" w:cs="Calibri"/>
          <w:sz w:val="20"/>
          <w:szCs w:val="20"/>
        </w:rPr>
      </w:pPr>
      <w:r w:rsidRPr="62C29527">
        <w:rPr>
          <w:rFonts w:ascii="Calibri" w:eastAsia="Calibri" w:hAnsi="Calibri" w:cs="Calibri"/>
          <w:sz w:val="20"/>
          <w:szCs w:val="20"/>
        </w:rPr>
        <w:t>Voc (Tensión de circuito abierto): Medir la tensión de cada string de paneles solares para confirmar que coincide con las especificaciones del fabricante.</w:t>
      </w:r>
    </w:p>
    <w:p w14:paraId="47A95CC0" w14:textId="11F9B47A" w:rsidR="4A6F696A" w:rsidRDefault="4A6F696A" w:rsidP="003408E6">
      <w:pPr>
        <w:pStyle w:val="Prrafodelista"/>
        <w:numPr>
          <w:ilvl w:val="0"/>
          <w:numId w:val="12"/>
        </w:numPr>
        <w:ind w:left="838"/>
        <w:jc w:val="both"/>
        <w:rPr>
          <w:rFonts w:ascii="Calibri" w:eastAsia="Calibri" w:hAnsi="Calibri" w:cs="Calibri"/>
          <w:sz w:val="20"/>
          <w:szCs w:val="20"/>
        </w:rPr>
      </w:pPr>
      <w:r w:rsidRPr="62C29527">
        <w:rPr>
          <w:rFonts w:ascii="Calibri" w:eastAsia="Calibri" w:hAnsi="Calibri" w:cs="Calibri"/>
          <w:sz w:val="20"/>
          <w:szCs w:val="20"/>
        </w:rPr>
        <w:t>Isc (Corriente de cortocircuito): Asegurarse de que los valores de corriente de cortocircuito estén dentro de los rangos previstos.</w:t>
      </w:r>
    </w:p>
    <w:p w14:paraId="01B19A5A" w14:textId="295ECA6B"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80C89AA" w14:textId="50F246FD" w:rsidR="4A6F696A" w:rsidRDefault="4A6F696A" w:rsidP="003408E6">
      <w:pPr>
        <w:pStyle w:val="Prrafodelista"/>
        <w:numPr>
          <w:ilvl w:val="2"/>
          <w:numId w:val="33"/>
        </w:numPr>
        <w:ind w:left="596" w:hanging="360"/>
        <w:jc w:val="both"/>
        <w:rPr>
          <w:rFonts w:ascii="Calibri" w:eastAsia="Calibri" w:hAnsi="Calibri" w:cs="Calibri"/>
          <w:b/>
          <w:bCs/>
          <w:sz w:val="20"/>
          <w:szCs w:val="20"/>
          <w:lang w:val="es"/>
        </w:rPr>
      </w:pPr>
      <w:r w:rsidRPr="62C29527">
        <w:rPr>
          <w:rFonts w:ascii="Calibri" w:eastAsia="Calibri" w:hAnsi="Calibri" w:cs="Calibri"/>
          <w:b/>
          <w:bCs/>
          <w:sz w:val="20"/>
          <w:szCs w:val="20"/>
          <w:lang w:val="es"/>
        </w:rPr>
        <w:t>Prueba de Rendimiento bajo Condiciones de Irradiancia Real</w:t>
      </w:r>
    </w:p>
    <w:p w14:paraId="7443F7FB" w14:textId="0A2C489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5D74DB4" w14:textId="3A68C2B9"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Medir el rendimiento de los módulos y comparar los resultados con las curvas de rendimiento del fabricante bajo las condiciones reales de irradiancia solar.</w:t>
      </w:r>
    </w:p>
    <w:p w14:paraId="24F720BC" w14:textId="72B4B9D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B5D6527" w14:textId="343E202E" w:rsidR="4A6F696A" w:rsidRDefault="4A6F696A" w:rsidP="003408E6">
      <w:pPr>
        <w:pStyle w:val="Prrafodelista"/>
        <w:numPr>
          <w:ilvl w:val="2"/>
          <w:numId w:val="33"/>
        </w:numPr>
        <w:ind w:left="596" w:hanging="360"/>
        <w:jc w:val="both"/>
        <w:rPr>
          <w:rFonts w:ascii="Calibri" w:eastAsia="Calibri" w:hAnsi="Calibri" w:cs="Calibri"/>
          <w:b/>
          <w:bCs/>
          <w:sz w:val="20"/>
          <w:szCs w:val="20"/>
          <w:lang w:val="es"/>
        </w:rPr>
      </w:pPr>
      <w:r w:rsidRPr="62C29527">
        <w:rPr>
          <w:rFonts w:ascii="Calibri" w:eastAsia="Calibri" w:hAnsi="Calibri" w:cs="Calibri"/>
          <w:b/>
          <w:bCs/>
          <w:sz w:val="20"/>
          <w:szCs w:val="20"/>
          <w:lang w:val="es"/>
        </w:rPr>
        <w:t>Prueba de Inversores</w:t>
      </w:r>
    </w:p>
    <w:p w14:paraId="04E0F7DA" w14:textId="57543661"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00BA456" w14:textId="7AF70EB7"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Comprobar el arranque y funcionamiento de los inversores.</w:t>
      </w:r>
    </w:p>
    <w:p w14:paraId="4E2727A8" w14:textId="4D8F64E4"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Verificar la conversión adecuada de la energía de DC a AC.</w:t>
      </w:r>
    </w:p>
    <w:p w14:paraId="75FF849C" w14:textId="4C30C7D8"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Realizar pruebas de la eficiencia del inversor y que se mantengan dentro de los límites especificados por el fabricante.</w:t>
      </w:r>
    </w:p>
    <w:p w14:paraId="694DA489" w14:textId="62E7D2DC" w:rsidR="4A6F696A" w:rsidRDefault="4A6F696A" w:rsidP="62C29527">
      <w:pPr>
        <w:tabs>
          <w:tab w:val="left" w:pos="478"/>
        </w:tabs>
        <w:ind w:left="838"/>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B320B6B" w14:textId="3CC915F4" w:rsidR="4A6F696A" w:rsidRDefault="4A6F696A" w:rsidP="003408E6">
      <w:pPr>
        <w:pStyle w:val="Prrafodelista"/>
        <w:numPr>
          <w:ilvl w:val="2"/>
          <w:numId w:val="33"/>
        </w:numPr>
        <w:ind w:left="596" w:hanging="360"/>
        <w:jc w:val="both"/>
        <w:rPr>
          <w:rFonts w:ascii="Calibri" w:eastAsia="Calibri" w:hAnsi="Calibri" w:cs="Calibri"/>
          <w:b/>
          <w:bCs/>
          <w:sz w:val="20"/>
          <w:szCs w:val="20"/>
          <w:lang w:val="es"/>
        </w:rPr>
      </w:pPr>
      <w:r w:rsidRPr="62C29527">
        <w:rPr>
          <w:rFonts w:ascii="Calibri" w:eastAsia="Calibri" w:hAnsi="Calibri" w:cs="Calibri"/>
          <w:b/>
          <w:bCs/>
          <w:sz w:val="20"/>
          <w:szCs w:val="20"/>
          <w:lang w:val="es"/>
        </w:rPr>
        <w:t>Pruebas de Sistemas de Protección y Seguridad</w:t>
      </w:r>
    </w:p>
    <w:p w14:paraId="107C3FE2" w14:textId="53C6BB6B"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D96B12C" w14:textId="369F57A5"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Verificar el funcionamiento correcto de los sistemas de desconexión en caso de sobrecargas, fallas eléctricas o eventos de desconexión del sistema.</w:t>
      </w:r>
    </w:p>
    <w:p w14:paraId="3907DAE8" w14:textId="324948EC"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Probar las protecciones diferenciales y termomagnéticas de los inversores.</w:t>
      </w:r>
    </w:p>
    <w:p w14:paraId="5589C375" w14:textId="16072F52"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1D0783D" w14:textId="536C2F94" w:rsidR="4A6F696A" w:rsidRDefault="4A6F696A" w:rsidP="003408E6">
      <w:pPr>
        <w:pStyle w:val="Prrafodelista"/>
        <w:numPr>
          <w:ilvl w:val="2"/>
          <w:numId w:val="33"/>
        </w:numPr>
        <w:ind w:left="596" w:hanging="360"/>
        <w:jc w:val="both"/>
        <w:rPr>
          <w:rFonts w:ascii="Calibri" w:eastAsia="Calibri" w:hAnsi="Calibri" w:cs="Calibri"/>
          <w:b/>
          <w:bCs/>
          <w:sz w:val="20"/>
          <w:szCs w:val="20"/>
          <w:lang w:val="es"/>
        </w:rPr>
      </w:pPr>
      <w:r w:rsidRPr="62C29527">
        <w:rPr>
          <w:rFonts w:ascii="Calibri" w:eastAsia="Calibri" w:hAnsi="Calibri" w:cs="Calibri"/>
          <w:b/>
          <w:bCs/>
          <w:sz w:val="20"/>
          <w:szCs w:val="20"/>
          <w:lang w:val="es"/>
        </w:rPr>
        <w:t>Prueba de Sincronización y Conexión a la Red</w:t>
      </w:r>
    </w:p>
    <w:p w14:paraId="7886BE21" w14:textId="0B61CC2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A2E6AB5" w14:textId="6A9C93AB"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Comprobar que el SSFV se sincroniza correctamente con la red eléctrica y no genera inestabilidad.</w:t>
      </w:r>
    </w:p>
    <w:p w14:paraId="2E502AFD" w14:textId="03AF26A4"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ED7916E" w14:textId="0C9AC96C" w:rsidR="4A6F696A" w:rsidRDefault="4A6F696A" w:rsidP="003408E6">
      <w:pPr>
        <w:pStyle w:val="Prrafodelista"/>
        <w:numPr>
          <w:ilvl w:val="2"/>
          <w:numId w:val="33"/>
        </w:numPr>
        <w:ind w:left="596" w:hanging="360"/>
        <w:jc w:val="both"/>
        <w:rPr>
          <w:rFonts w:ascii="Calibri" w:eastAsia="Calibri" w:hAnsi="Calibri" w:cs="Calibri"/>
          <w:b/>
          <w:bCs/>
          <w:sz w:val="20"/>
          <w:szCs w:val="20"/>
          <w:lang w:val="es"/>
        </w:rPr>
      </w:pPr>
      <w:r w:rsidRPr="62C29527">
        <w:rPr>
          <w:rFonts w:ascii="Calibri" w:eastAsia="Calibri" w:hAnsi="Calibri" w:cs="Calibri"/>
          <w:b/>
          <w:bCs/>
          <w:sz w:val="20"/>
          <w:szCs w:val="20"/>
          <w:lang w:val="es"/>
        </w:rPr>
        <w:t>Pruebas de Monitorización y Comunicación</w:t>
      </w:r>
    </w:p>
    <w:p w14:paraId="1BA85EAB" w14:textId="017B9AB9"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87C94CC" w14:textId="4187CAFD"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Verificar el correcto funcionamiento del sistema de monitorización.</w:t>
      </w:r>
    </w:p>
    <w:p w14:paraId="215C3F42" w14:textId="34A6BA89"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Asegurarse de que los inversores y demás componentes se comuniquen adecuadamente con los sistemas de monitorización.</w:t>
      </w:r>
    </w:p>
    <w:p w14:paraId="7B1A44F4" w14:textId="0C7C1F7B"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9D68F4A" w14:textId="27CE040D" w:rsidR="4A6F696A" w:rsidRDefault="4A6F696A" w:rsidP="003408E6">
      <w:pPr>
        <w:pStyle w:val="Prrafodelista"/>
        <w:numPr>
          <w:ilvl w:val="2"/>
          <w:numId w:val="33"/>
        </w:numPr>
        <w:ind w:left="596" w:hanging="360"/>
        <w:jc w:val="both"/>
        <w:rPr>
          <w:rFonts w:ascii="Calibri" w:eastAsia="Calibri" w:hAnsi="Calibri" w:cs="Calibri"/>
          <w:b/>
          <w:bCs/>
          <w:sz w:val="20"/>
          <w:szCs w:val="20"/>
          <w:lang w:val="es"/>
        </w:rPr>
      </w:pPr>
      <w:r w:rsidRPr="62C29527">
        <w:rPr>
          <w:rFonts w:ascii="Calibri" w:eastAsia="Calibri" w:hAnsi="Calibri" w:cs="Calibri"/>
          <w:b/>
          <w:bCs/>
          <w:sz w:val="20"/>
          <w:szCs w:val="20"/>
          <w:lang w:val="es"/>
        </w:rPr>
        <w:t>Prueba de Potencia AC Generada</w:t>
      </w:r>
    </w:p>
    <w:p w14:paraId="342AE34C" w14:textId="592CBA2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466E91C" w14:textId="5E0DDEE3"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Medir la potencia en AC generada por el sistema y compararla con la estimación de diseño para asegurar que el sistema cumple con los parámetros de generación esperados.</w:t>
      </w:r>
    </w:p>
    <w:p w14:paraId="634A2D9F" w14:textId="0189AB0E"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26FBBB1" w14:textId="71E0E13E" w:rsidR="4A6F696A" w:rsidRDefault="4A6F696A" w:rsidP="003408E6">
      <w:pPr>
        <w:pStyle w:val="Prrafodelista"/>
        <w:numPr>
          <w:ilvl w:val="2"/>
          <w:numId w:val="33"/>
        </w:numPr>
        <w:ind w:left="596" w:hanging="360"/>
        <w:jc w:val="both"/>
        <w:rPr>
          <w:rFonts w:ascii="Calibri" w:eastAsia="Calibri" w:hAnsi="Calibri" w:cs="Calibri"/>
          <w:b/>
          <w:bCs/>
          <w:sz w:val="20"/>
          <w:szCs w:val="20"/>
          <w:lang w:val="es"/>
        </w:rPr>
      </w:pPr>
      <w:r w:rsidRPr="62C29527">
        <w:rPr>
          <w:rFonts w:ascii="Calibri" w:eastAsia="Calibri" w:hAnsi="Calibri" w:cs="Calibri"/>
          <w:b/>
          <w:bCs/>
          <w:sz w:val="20"/>
          <w:szCs w:val="20"/>
          <w:lang w:val="es"/>
        </w:rPr>
        <w:t>Elaboración de Reportes</w:t>
      </w:r>
    </w:p>
    <w:p w14:paraId="2FEEDA1C" w14:textId="6046AF7C" w:rsidR="4A6F696A" w:rsidRDefault="4A6F696A" w:rsidP="62C29527">
      <w:pPr>
        <w:tabs>
          <w:tab w:val="left" w:pos="478"/>
        </w:tabs>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EA33839" w14:textId="66775783"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Generar un informe completo de todas las pruebas realizadas, incluyendo resultados, observaciones y acciones correctivas necesarias.</w:t>
      </w:r>
    </w:p>
    <w:p w14:paraId="4B04DE1A" w14:textId="7C81FBDE" w:rsidR="4A6F696A" w:rsidRDefault="4A6F696A" w:rsidP="62C29527">
      <w:pPr>
        <w:tabs>
          <w:tab w:val="left" w:pos="478"/>
        </w:tabs>
        <w:ind w:left="720"/>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807BB4A" w14:textId="2FEDDC66" w:rsidR="4A6F696A" w:rsidRDefault="1652C3A6" w:rsidP="3C234025">
      <w:pPr>
        <w:pStyle w:val="Ttulo2"/>
        <w:ind w:left="478"/>
        <w:jc w:val="both"/>
        <w:rPr>
          <w:rFonts w:ascii="Calibri" w:eastAsia="Calibri" w:hAnsi="Calibri" w:cs="Calibri"/>
          <w:lang w:val="es"/>
        </w:rPr>
      </w:pPr>
      <w:bookmarkStart w:id="20" w:name="_Toc934272677"/>
      <w:r w:rsidRPr="6F1EDA97">
        <w:rPr>
          <w:rFonts w:ascii="Calibri" w:eastAsia="Calibri" w:hAnsi="Calibri" w:cs="Calibri"/>
          <w:lang w:val="es"/>
        </w:rPr>
        <w:t xml:space="preserve">9.2 </w:t>
      </w:r>
      <w:r w:rsidR="4A6F696A" w:rsidRPr="6F1EDA97">
        <w:rPr>
          <w:rFonts w:ascii="Calibri" w:eastAsia="Calibri" w:hAnsi="Calibri" w:cs="Calibri"/>
          <w:lang w:val="es"/>
        </w:rPr>
        <w:t>Pruebas para batería de Litio.</w:t>
      </w:r>
      <w:bookmarkEnd w:id="20"/>
    </w:p>
    <w:p w14:paraId="0E28E578" w14:textId="1D669777"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C1614D8" w14:textId="3351FBF9" w:rsidR="4A6F696A" w:rsidRDefault="4A6F696A" w:rsidP="003408E6">
      <w:pPr>
        <w:pStyle w:val="Prrafodelista"/>
        <w:numPr>
          <w:ilvl w:val="0"/>
          <w:numId w:val="12"/>
        </w:numPr>
        <w:ind w:left="838"/>
        <w:jc w:val="both"/>
        <w:rPr>
          <w:rFonts w:ascii="Calibri" w:eastAsia="Calibri" w:hAnsi="Calibri" w:cs="Calibri"/>
          <w:sz w:val="20"/>
          <w:szCs w:val="20"/>
        </w:rPr>
      </w:pPr>
      <w:r w:rsidRPr="3C234025">
        <w:rPr>
          <w:rFonts w:ascii="Calibri" w:eastAsia="Calibri" w:hAnsi="Calibri" w:cs="Calibri"/>
          <w:sz w:val="20"/>
          <w:szCs w:val="20"/>
        </w:rPr>
        <w:t xml:space="preserve">Verificación de </w:t>
      </w:r>
      <w:r w:rsidR="6881B47B" w:rsidRPr="3C234025">
        <w:rPr>
          <w:rFonts w:ascii="Calibri" w:eastAsia="Calibri" w:hAnsi="Calibri" w:cs="Calibri"/>
          <w:sz w:val="20"/>
          <w:szCs w:val="20"/>
        </w:rPr>
        <w:t>las conexiones</w:t>
      </w:r>
      <w:r w:rsidRPr="3C234025">
        <w:rPr>
          <w:rFonts w:ascii="Calibri" w:eastAsia="Calibri" w:hAnsi="Calibri" w:cs="Calibri"/>
          <w:sz w:val="20"/>
          <w:szCs w:val="20"/>
        </w:rPr>
        <w:t xml:space="preserve"> de conformidad estricta a especificaciones de cada equipo.</w:t>
      </w:r>
    </w:p>
    <w:p w14:paraId="66900C60" w14:textId="6B51D2E0" w:rsidR="4A6F696A" w:rsidRDefault="4A6F696A" w:rsidP="003408E6">
      <w:pPr>
        <w:pStyle w:val="Prrafodelista"/>
        <w:numPr>
          <w:ilvl w:val="0"/>
          <w:numId w:val="12"/>
        </w:numPr>
        <w:ind w:left="838"/>
        <w:jc w:val="both"/>
        <w:rPr>
          <w:rFonts w:ascii="Calibri" w:eastAsia="Calibri" w:hAnsi="Calibri" w:cs="Calibri"/>
          <w:sz w:val="20"/>
          <w:szCs w:val="20"/>
        </w:rPr>
      </w:pPr>
      <w:r w:rsidRPr="62C29527">
        <w:rPr>
          <w:rFonts w:ascii="Calibri" w:eastAsia="Calibri" w:hAnsi="Calibri" w:cs="Calibri"/>
          <w:sz w:val="20"/>
          <w:szCs w:val="20"/>
        </w:rPr>
        <w:t>Medición de la tensión DC de cada módulo, para esta prueba se deberá tener en cuenta las indicaciones del manual de fabricante de baterías con relación a los valores de tensión nominales, altos y bajos. Si se obtiene una tensión significativamente baja puede indicar un problema como una sobre descarga, un desequilibrio de la celda o un cortocircuito interno, y las lecturas de tensión inusualmente altas pueden indicar sobrecarga o fuga térmica dentro de la batería. En el caso de presentarse valores anormales se deberá realizar el debido reemplazo del módulo de batería defectuoso. El equipo a usar para esta labor debe tener su certificado de calibración vigente.</w:t>
      </w:r>
    </w:p>
    <w:p w14:paraId="06E83BBD" w14:textId="32E50A76"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Pruebas de carga y descarga para verificación de rendimiento inicial.</w:t>
      </w:r>
    </w:p>
    <w:p w14:paraId="05B26DE0" w14:textId="7572C315" w:rsidR="4A6F696A" w:rsidRDefault="4A6F696A" w:rsidP="003408E6">
      <w:pPr>
        <w:pStyle w:val="Prrafodelista"/>
        <w:numPr>
          <w:ilvl w:val="0"/>
          <w:numId w:val="12"/>
        </w:numPr>
        <w:ind w:left="838"/>
        <w:jc w:val="both"/>
        <w:rPr>
          <w:rFonts w:ascii="Calibri" w:eastAsia="Calibri" w:hAnsi="Calibri" w:cs="Calibri"/>
          <w:sz w:val="20"/>
          <w:szCs w:val="20"/>
        </w:rPr>
      </w:pPr>
      <w:r w:rsidRPr="62C29527">
        <w:rPr>
          <w:rFonts w:ascii="Calibri" w:eastAsia="Calibri" w:hAnsi="Calibri" w:cs="Calibri"/>
          <w:sz w:val="20"/>
          <w:szCs w:val="20"/>
        </w:rPr>
        <w:t>Pruebas termográficas en bornes y en general durante el ciclo de carga y durante el ciclo de descarga, se deberá comparar sistemáticamente las variaciones de temperatura en diferentes partes del módulo de baterías (bornes, conexiones, cuerpo de cada celda, entre otros). Tener en cuenta las indicaciones del manual de fabricante para este tipo de prueba.</w:t>
      </w:r>
    </w:p>
    <w:p w14:paraId="4CF0E0E4" w14:textId="4E488746" w:rsidR="4A6F696A" w:rsidRDefault="4A6F696A" w:rsidP="003408E6">
      <w:pPr>
        <w:pStyle w:val="Prrafodelista"/>
        <w:numPr>
          <w:ilvl w:val="0"/>
          <w:numId w:val="12"/>
        </w:numPr>
        <w:ind w:left="838"/>
        <w:jc w:val="both"/>
        <w:rPr>
          <w:rFonts w:ascii="Calibri" w:eastAsia="Calibri" w:hAnsi="Calibri" w:cs="Calibri"/>
          <w:sz w:val="20"/>
          <w:szCs w:val="20"/>
        </w:rPr>
      </w:pPr>
      <w:r w:rsidRPr="62C29527">
        <w:rPr>
          <w:rFonts w:ascii="Calibri" w:eastAsia="Calibri" w:hAnsi="Calibri" w:cs="Calibri"/>
          <w:sz w:val="20"/>
          <w:szCs w:val="20"/>
        </w:rPr>
        <w:t>Verificación de parámetros de protección de sobrecarga y sobredescarga.</w:t>
      </w:r>
    </w:p>
    <w:p w14:paraId="7AD53C9E" w14:textId="0B291B78"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Pruebas de temperatura ambiente durante carga y descarga.</w:t>
      </w:r>
    </w:p>
    <w:p w14:paraId="4EC2039D" w14:textId="013ADBFA" w:rsidR="4A6F696A" w:rsidRDefault="4A6F696A" w:rsidP="003408E6">
      <w:pPr>
        <w:pStyle w:val="Prrafodelista"/>
        <w:numPr>
          <w:ilvl w:val="0"/>
          <w:numId w:val="12"/>
        </w:numPr>
        <w:ind w:left="838"/>
        <w:jc w:val="both"/>
        <w:rPr>
          <w:rFonts w:ascii="Calibri" w:eastAsia="Calibri" w:hAnsi="Calibri" w:cs="Calibri"/>
          <w:sz w:val="20"/>
          <w:szCs w:val="20"/>
        </w:rPr>
      </w:pPr>
      <w:r w:rsidRPr="62C29527">
        <w:rPr>
          <w:rFonts w:ascii="Calibri" w:eastAsia="Calibri" w:hAnsi="Calibri" w:cs="Calibri"/>
          <w:sz w:val="20"/>
          <w:szCs w:val="20"/>
        </w:rPr>
        <w:t>Pruebas de aislamiento / resistencia eléctrica, para esta prueba se deberá tener en cuenta las indicaciones del manual de fabricante de baterías donde se relacionen los valores convencionales de resistencia.  Las lecturas de resistencia altas pueden indicar daños internos o aumento de impedancia debido al envejecimiento o la contaminación de la batería y las lecturas de resistencia baja pueden indicar un cortocircuito. En el caso de presentarse valores anormales se deberá realizar el debido reemplazo del módulo de batería defectuoso. El equipo a usar para esta labor debe tener su certificado de calibración vigente.</w:t>
      </w:r>
    </w:p>
    <w:p w14:paraId="79391768" w14:textId="23CB8132" w:rsidR="4A6F696A" w:rsidRDefault="4A6F696A" w:rsidP="62C29527">
      <w:pPr>
        <w:ind w:left="720"/>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C1C9A1A" w14:textId="351063F9" w:rsidR="4A6F696A" w:rsidRDefault="352DAC8B" w:rsidP="3C234025">
      <w:pPr>
        <w:pStyle w:val="Ttulo2"/>
        <w:ind w:left="478"/>
        <w:jc w:val="both"/>
        <w:rPr>
          <w:rFonts w:ascii="Calibri" w:eastAsia="Calibri" w:hAnsi="Calibri" w:cs="Calibri"/>
          <w:lang w:val="es"/>
        </w:rPr>
      </w:pPr>
      <w:bookmarkStart w:id="21" w:name="_Toc1413771096"/>
      <w:r w:rsidRPr="6F1EDA97">
        <w:rPr>
          <w:rFonts w:ascii="Calibri" w:eastAsia="Calibri" w:hAnsi="Calibri" w:cs="Calibri"/>
          <w:lang w:val="es"/>
        </w:rPr>
        <w:t xml:space="preserve">9.3 </w:t>
      </w:r>
      <w:r w:rsidR="4A6F696A" w:rsidRPr="6F1EDA97">
        <w:rPr>
          <w:rFonts w:ascii="Calibri" w:eastAsia="Calibri" w:hAnsi="Calibri" w:cs="Calibri"/>
          <w:lang w:val="es"/>
        </w:rPr>
        <w:t>Pruebas para instalaciones eléctricas internas.</w:t>
      </w:r>
      <w:bookmarkEnd w:id="21"/>
    </w:p>
    <w:p w14:paraId="333D9A0D" w14:textId="6E7815E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2015A49A" w14:textId="58CD576E"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Para las pruebas de funcionamiento del sistema deberán se deberán realizar pruebas descritas a continuación ajustando a la norma La Norma UNE 20460-6-61 con esta referencia, los datos deben ser entregados en un documento sobre el comportamiento de los sistemas.</w:t>
      </w:r>
    </w:p>
    <w:p w14:paraId="2FBCD700" w14:textId="359ACF19"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Medida de continuidad y resistencia de las protecciones. </w:t>
      </w:r>
    </w:p>
    <w:p w14:paraId="4FC99E71" w14:textId="64CB2465"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Medida de la resistencia de la puesta a tierra. </w:t>
      </w:r>
    </w:p>
    <w:p w14:paraId="1791ECB1" w14:textId="2B564F44"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Medida de rigidez dieléctrica. </w:t>
      </w:r>
    </w:p>
    <w:p w14:paraId="7FA2BDFB" w14:textId="75C8C629"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Medida de la iluminación de los equipos de alumbrado. </w:t>
      </w:r>
    </w:p>
    <w:p w14:paraId="569DD41E" w14:textId="71E16167"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Medida de corrientes de fuga. </w:t>
      </w:r>
    </w:p>
    <w:p w14:paraId="183CFA27" w14:textId="0401D890"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Medida de continuidad de las conexiones del sistema. </w:t>
      </w:r>
    </w:p>
    <w:p w14:paraId="792BF8C5" w14:textId="42EF81BB" w:rsidR="4A6F696A" w:rsidRDefault="4A6F696A" w:rsidP="003408E6">
      <w:pPr>
        <w:pStyle w:val="Prrafodelista"/>
        <w:numPr>
          <w:ilvl w:val="0"/>
          <w:numId w:val="12"/>
        </w:numPr>
        <w:ind w:left="838"/>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Si los sistemas cuentan con la conexión al SIN o a los sistemas SSFV, realizar medición de voltajes y tierra, de tomacorrientes y salidas de alumbrado. </w:t>
      </w:r>
    </w:p>
    <w:p w14:paraId="7AA75D5D" w14:textId="51A541E1"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BE06A25" w14:textId="75FE9FF0" w:rsidR="4A6F696A" w:rsidRDefault="4A6F696A" w:rsidP="62C29527">
      <w:pPr>
        <w:pStyle w:val="Ttulo1"/>
        <w:jc w:val="both"/>
        <w:rPr>
          <w:rFonts w:ascii="Calibri" w:eastAsia="Calibri" w:hAnsi="Calibri" w:cs="Calibri"/>
          <w:lang w:val="es"/>
        </w:rPr>
      </w:pPr>
      <w:bookmarkStart w:id="22" w:name="_Toc1844364003"/>
      <w:r w:rsidRPr="6F1EDA97">
        <w:rPr>
          <w:rFonts w:ascii="Calibri" w:eastAsia="Calibri" w:hAnsi="Calibri" w:cs="Calibri"/>
          <w:lang w:val="es"/>
        </w:rPr>
        <w:t>OBLIGACIONES DEL CONTRATISTA EN CUANTO A OPERACIÓN Y MANTENIMIENTO</w:t>
      </w:r>
      <w:bookmarkEnd w:id="22"/>
    </w:p>
    <w:p w14:paraId="1CDAFC0A" w14:textId="46B308AD" w:rsidR="4A6F696A" w:rsidRDefault="4A6F696A" w:rsidP="62C29527">
      <w:pPr>
        <w:jc w:val="both"/>
        <w:rPr>
          <w:rFonts w:ascii="Calibri" w:eastAsia="Calibri" w:hAnsi="Calibri" w:cs="Calibri"/>
          <w:b/>
          <w:bCs/>
          <w:i/>
          <w:iCs/>
          <w:sz w:val="20"/>
          <w:szCs w:val="20"/>
          <w:lang w:val="es"/>
        </w:rPr>
      </w:pPr>
      <w:r w:rsidRPr="62C29527">
        <w:rPr>
          <w:rFonts w:ascii="Calibri" w:eastAsia="Calibri" w:hAnsi="Calibri" w:cs="Calibri"/>
          <w:b/>
          <w:bCs/>
          <w:i/>
          <w:iCs/>
          <w:sz w:val="20"/>
          <w:szCs w:val="20"/>
          <w:lang w:val="es"/>
        </w:rPr>
        <w:t xml:space="preserve"> </w:t>
      </w:r>
    </w:p>
    <w:p w14:paraId="5E65536D" w14:textId="55D34451" w:rsidR="4A6F696A" w:rsidRDefault="4A6F696A" w:rsidP="62C29527">
      <w:pPr>
        <w:jc w:val="both"/>
        <w:rPr>
          <w:rFonts w:ascii="Calibri" w:eastAsia="Calibri" w:hAnsi="Calibri" w:cs="Calibri"/>
          <w:sz w:val="20"/>
          <w:szCs w:val="20"/>
          <w:lang w:val="es"/>
        </w:rPr>
      </w:pPr>
      <w:r w:rsidRPr="6F1EDA97">
        <w:rPr>
          <w:rFonts w:ascii="Calibri" w:eastAsia="Calibri" w:hAnsi="Calibri" w:cs="Calibri"/>
          <w:sz w:val="20"/>
          <w:szCs w:val="20"/>
          <w:lang w:val="es"/>
        </w:rPr>
        <w:t xml:space="preserve">Durante el componente de </w:t>
      </w:r>
      <w:r w:rsidR="3B0FCF53" w:rsidRPr="6F1EDA97">
        <w:rPr>
          <w:rFonts w:ascii="Calibri" w:eastAsia="Calibri" w:hAnsi="Calibri" w:cs="Calibri"/>
          <w:sz w:val="20"/>
          <w:szCs w:val="20"/>
          <w:lang w:val="es"/>
        </w:rPr>
        <w:t>m</w:t>
      </w:r>
      <w:r w:rsidRPr="6F1EDA97">
        <w:rPr>
          <w:rFonts w:ascii="Calibri" w:eastAsia="Calibri" w:hAnsi="Calibri" w:cs="Calibri"/>
          <w:sz w:val="20"/>
          <w:szCs w:val="20"/>
          <w:lang w:val="es"/>
        </w:rPr>
        <w:t xml:space="preserve">antenimiento, debe realizar durante los </w:t>
      </w:r>
      <w:r w:rsidR="7A3F233D" w:rsidRPr="6F1EDA97">
        <w:rPr>
          <w:rFonts w:ascii="Calibri" w:eastAsia="Calibri" w:hAnsi="Calibri" w:cs="Calibri"/>
          <w:sz w:val="20"/>
          <w:szCs w:val="20"/>
          <w:lang w:val="es"/>
        </w:rPr>
        <w:t>12</w:t>
      </w:r>
      <w:r w:rsidRPr="6F1EDA97">
        <w:rPr>
          <w:rFonts w:ascii="Calibri" w:eastAsia="Calibri" w:hAnsi="Calibri" w:cs="Calibri"/>
          <w:sz w:val="20"/>
          <w:szCs w:val="20"/>
          <w:lang w:val="es"/>
        </w:rPr>
        <w:t xml:space="preserve"> meses las siguientes actividades, sin limitarse a ellas:</w:t>
      </w:r>
    </w:p>
    <w:p w14:paraId="7D20BD90" w14:textId="46A38BC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581C3D9" w14:textId="26138524" w:rsidR="4A6F696A" w:rsidRDefault="2E4AAA8A" w:rsidP="3C234025">
      <w:pPr>
        <w:pStyle w:val="Ttulo2"/>
        <w:ind w:left="357" w:hanging="357"/>
        <w:jc w:val="both"/>
        <w:rPr>
          <w:rFonts w:ascii="Calibri" w:eastAsia="Calibri" w:hAnsi="Calibri" w:cs="Calibri"/>
          <w:lang w:val="es"/>
        </w:rPr>
      </w:pPr>
      <w:bookmarkStart w:id="23" w:name="_Toc1910015307"/>
      <w:r w:rsidRPr="6F1EDA97">
        <w:rPr>
          <w:rFonts w:ascii="Calibri" w:eastAsia="Calibri" w:hAnsi="Calibri" w:cs="Calibri"/>
          <w:lang w:val="es"/>
        </w:rPr>
        <w:t xml:space="preserve">10.1 </w:t>
      </w:r>
      <w:r w:rsidR="4A6F696A" w:rsidRPr="6F1EDA97">
        <w:rPr>
          <w:rFonts w:ascii="Calibri" w:eastAsia="Calibri" w:hAnsi="Calibri" w:cs="Calibri"/>
          <w:lang w:val="es"/>
        </w:rPr>
        <w:t>Operación</w:t>
      </w:r>
      <w:bookmarkEnd w:id="23"/>
    </w:p>
    <w:p w14:paraId="39789B36" w14:textId="4600DD39"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2872F639" w14:textId="30553B67" w:rsidR="4A6F696A" w:rsidRDefault="4A6F696A" w:rsidP="003408E6">
      <w:pPr>
        <w:pStyle w:val="Prrafodelista"/>
        <w:numPr>
          <w:ilvl w:val="0"/>
          <w:numId w:val="11"/>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Monitorización en Tiempo Real: Realizar la supervisión continua del desempeño de los laboratorios tecnológicos FNCER y de movilidad eléctrica, con el fin de identificar oportunamente fallas, disminuciones de rendimiento, eventos anómalos o indisponibilidades del sistema.</w:t>
      </w:r>
    </w:p>
    <w:p w14:paraId="2CDF6C6A" w14:textId="58F3BE85" w:rsidR="4A6F696A" w:rsidRDefault="4A6F696A" w:rsidP="003408E6">
      <w:pPr>
        <w:pStyle w:val="Prrafodelista"/>
        <w:numPr>
          <w:ilvl w:val="0"/>
          <w:numId w:val="11"/>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Optimización de Rendimiento: Implementar acciones y ajustes operativos que permitan maximizar la generación y el aprovechamiento de la energía de los laboratorios, considerando las condiciones climáticas, patrones de uso de cada sistema y requerimientos operativos.</w:t>
      </w:r>
    </w:p>
    <w:p w14:paraId="43DA8631" w14:textId="09721060" w:rsidR="4A6F696A" w:rsidRDefault="4A6F696A" w:rsidP="003408E6">
      <w:pPr>
        <w:pStyle w:val="Prrafodelista"/>
        <w:numPr>
          <w:ilvl w:val="0"/>
          <w:numId w:val="11"/>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Gestión de la Energía Producida: Controlar y registrar la energía generada y consumida por cada sistema de laboratorio, asegurando una operación eficiente y acorde con la regulación vigente.</w:t>
      </w:r>
    </w:p>
    <w:p w14:paraId="02D0E07D" w14:textId="3267B98D" w:rsidR="4A6F696A" w:rsidRDefault="4A6F696A" w:rsidP="003408E6">
      <w:pPr>
        <w:pStyle w:val="Prrafodelista"/>
        <w:numPr>
          <w:ilvl w:val="0"/>
          <w:numId w:val="11"/>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Control de Consumos Propios: Administrar y hacer seguimiento al consumo eléctrico de los equipos de cada laboratorio tecnológico (inversores, controladores, sistemas de monitoreo y equipos auxiliares), garantizando su operación eficiente.</w:t>
      </w:r>
    </w:p>
    <w:p w14:paraId="385796EF" w14:textId="743C7823" w:rsidR="4A6F696A" w:rsidRDefault="4A6F696A" w:rsidP="003408E6">
      <w:pPr>
        <w:pStyle w:val="Prrafodelista"/>
        <w:numPr>
          <w:ilvl w:val="0"/>
          <w:numId w:val="11"/>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Control de Desempeño: Evaluar periódicamente el rendimiento real de cada laboratorio tecnológico frente a los valores proyectados, identificando desviaciones, causas técnicas u operativas y definiendo acciones correctivas cuando sea necesario.</w:t>
      </w:r>
    </w:p>
    <w:p w14:paraId="5FF0BDA5" w14:textId="6947526F" w:rsidR="4A6F696A" w:rsidRDefault="4A6F696A" w:rsidP="003408E6">
      <w:pPr>
        <w:pStyle w:val="Prrafodelista"/>
        <w:numPr>
          <w:ilvl w:val="0"/>
          <w:numId w:val="11"/>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Registro y reporte operativo: Consolidar y reportar la información operativa de los laboratorios tecnológicos, mediante registros, bitácoras y reportes periódicos que soporten la toma de decisiones y el seguimiento por parte de la supervisión y/o interventoría.</w:t>
      </w:r>
    </w:p>
    <w:p w14:paraId="78BF720D" w14:textId="45D3188D"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707762F" w14:textId="1352F722" w:rsidR="4A6F696A" w:rsidRDefault="484CC2FF" w:rsidP="3C234025">
      <w:pPr>
        <w:pStyle w:val="Ttulo2"/>
        <w:ind w:left="357" w:hanging="357"/>
        <w:jc w:val="both"/>
        <w:rPr>
          <w:rFonts w:ascii="Calibri" w:eastAsia="Calibri" w:hAnsi="Calibri" w:cs="Calibri"/>
          <w:lang w:val="es"/>
        </w:rPr>
      </w:pPr>
      <w:bookmarkStart w:id="24" w:name="_Toc907629446"/>
      <w:r w:rsidRPr="6F1EDA97">
        <w:rPr>
          <w:rFonts w:ascii="Calibri" w:eastAsia="Calibri" w:hAnsi="Calibri" w:cs="Calibri"/>
          <w:lang w:val="es"/>
        </w:rPr>
        <w:t xml:space="preserve">10.2 </w:t>
      </w:r>
      <w:r w:rsidR="4A6F696A" w:rsidRPr="6F1EDA97">
        <w:rPr>
          <w:rFonts w:ascii="Calibri" w:eastAsia="Calibri" w:hAnsi="Calibri" w:cs="Calibri"/>
          <w:lang w:val="es"/>
        </w:rPr>
        <w:t>Mantenimiento preventivo</w:t>
      </w:r>
      <w:bookmarkEnd w:id="24"/>
    </w:p>
    <w:p w14:paraId="5EEB8C73" w14:textId="15279102"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E7A65DB" w14:textId="1249F470" w:rsidR="4A6F696A" w:rsidRDefault="4A6F696A" w:rsidP="3C234025">
      <w:pPr>
        <w:jc w:val="both"/>
        <w:rPr>
          <w:rFonts w:ascii="Calibri" w:eastAsia="Calibri" w:hAnsi="Calibri" w:cs="Calibri"/>
          <w:sz w:val="20"/>
          <w:szCs w:val="20"/>
        </w:rPr>
      </w:pPr>
      <w:r w:rsidRPr="3C234025">
        <w:rPr>
          <w:rFonts w:ascii="Calibri" w:eastAsia="Calibri" w:hAnsi="Calibri" w:cs="Calibri"/>
          <w:sz w:val="20"/>
          <w:szCs w:val="20"/>
        </w:rPr>
        <w:t xml:space="preserve"> Para dar cumplimiento a lo anterior y asegurar la operatividad </w:t>
      </w:r>
      <w:r w:rsidR="2C149607" w:rsidRPr="3C234025">
        <w:rPr>
          <w:rFonts w:ascii="Calibri" w:eastAsia="Calibri" w:hAnsi="Calibri" w:cs="Calibri"/>
          <w:sz w:val="20"/>
          <w:szCs w:val="20"/>
        </w:rPr>
        <w:t>de los equipos</w:t>
      </w:r>
      <w:r w:rsidRPr="3C234025">
        <w:rPr>
          <w:rFonts w:ascii="Calibri" w:eastAsia="Calibri" w:hAnsi="Calibri" w:cs="Calibri"/>
          <w:sz w:val="20"/>
          <w:szCs w:val="20"/>
        </w:rPr>
        <w:t xml:space="preserve"> y el SSFV asociado, las actividades de mantenimiento preventivo comprenderá</w:t>
      </w:r>
      <w:r w:rsidR="3939F9C8" w:rsidRPr="3C234025">
        <w:rPr>
          <w:rFonts w:ascii="Calibri" w:eastAsia="Calibri" w:hAnsi="Calibri" w:cs="Calibri"/>
          <w:sz w:val="20"/>
          <w:szCs w:val="20"/>
        </w:rPr>
        <w:t>n</w:t>
      </w:r>
      <w:r w:rsidRPr="3C234025">
        <w:rPr>
          <w:rFonts w:ascii="Calibri" w:eastAsia="Calibri" w:hAnsi="Calibri" w:cs="Calibri"/>
          <w:sz w:val="20"/>
          <w:szCs w:val="20"/>
        </w:rPr>
        <w:t xml:space="preserve"> las siguientes actividades:</w:t>
      </w:r>
    </w:p>
    <w:p w14:paraId="36CF1642" w14:textId="22EA0451"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6EDBF8D" w14:textId="23FFC7A6" w:rsidR="4A6F696A" w:rsidRDefault="4A6F696A" w:rsidP="003408E6">
      <w:pPr>
        <w:pStyle w:val="Prrafodelista"/>
        <w:numPr>
          <w:ilvl w:val="0"/>
          <w:numId w:val="10"/>
        </w:numPr>
        <w:ind w:left="360"/>
        <w:jc w:val="both"/>
        <w:rPr>
          <w:rFonts w:ascii="Calibri" w:eastAsia="Calibri" w:hAnsi="Calibri" w:cs="Calibri"/>
          <w:sz w:val="20"/>
          <w:szCs w:val="20"/>
        </w:rPr>
      </w:pPr>
      <w:r w:rsidRPr="3C234025">
        <w:rPr>
          <w:rFonts w:ascii="Calibri" w:eastAsia="Calibri" w:hAnsi="Calibri" w:cs="Calibri"/>
          <w:sz w:val="20"/>
          <w:szCs w:val="20"/>
        </w:rPr>
        <w:t>Inspección Visual Regular: Revisión periódica de los paneles solares, estructuras de soporte, cableado, e</w:t>
      </w:r>
      <w:r w:rsidR="499460C0" w:rsidRPr="3C234025">
        <w:rPr>
          <w:rFonts w:ascii="Calibri" w:eastAsia="Calibri" w:hAnsi="Calibri" w:cs="Calibri"/>
          <w:sz w:val="20"/>
          <w:szCs w:val="20"/>
        </w:rPr>
        <w:t>quipos</w:t>
      </w:r>
      <w:r w:rsidRPr="3C234025">
        <w:rPr>
          <w:rFonts w:ascii="Calibri" w:eastAsia="Calibri" w:hAnsi="Calibri" w:cs="Calibri"/>
          <w:sz w:val="20"/>
          <w:szCs w:val="20"/>
        </w:rPr>
        <w:t xml:space="preserve"> y componentes asociados, con el fin de identificar signos de daño, corrosión, suciedad o desgaste prematuro.</w:t>
      </w:r>
    </w:p>
    <w:p w14:paraId="72983F67" w14:textId="004FAD9D" w:rsidR="4A6F696A" w:rsidRDefault="4A6F696A" w:rsidP="003408E6">
      <w:pPr>
        <w:pStyle w:val="Prrafodelista"/>
        <w:numPr>
          <w:ilvl w:val="0"/>
          <w:numId w:val="10"/>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Limpieza de Paneles Solares: Programación y ejecución de la limpieza de los módulos fotovoltaicos como mínimo cada cuatro (4) meses, o con mayor frecuencia según las condiciones ambientales del sitio, para evitar pérdidas de eficiencia por acumulación de polvo, suciedad o residuos.</w:t>
      </w:r>
    </w:p>
    <w:p w14:paraId="59B42233" w14:textId="08E296C8" w:rsidR="4A6F696A" w:rsidRDefault="4A6F696A" w:rsidP="003408E6">
      <w:pPr>
        <w:pStyle w:val="Prrafodelista"/>
        <w:numPr>
          <w:ilvl w:val="0"/>
          <w:numId w:val="10"/>
        </w:numPr>
        <w:ind w:left="360"/>
        <w:jc w:val="both"/>
        <w:rPr>
          <w:rFonts w:ascii="Calibri" w:eastAsia="Calibri" w:hAnsi="Calibri" w:cs="Calibri"/>
          <w:sz w:val="20"/>
          <w:szCs w:val="20"/>
          <w:lang w:val="es"/>
        </w:rPr>
      </w:pPr>
      <w:r w:rsidRPr="3C234025">
        <w:rPr>
          <w:rFonts w:ascii="Calibri" w:eastAsia="Calibri" w:hAnsi="Calibri" w:cs="Calibri"/>
          <w:sz w:val="20"/>
          <w:szCs w:val="20"/>
          <w:lang w:val="es"/>
        </w:rPr>
        <w:t>Mantenimiento de Inversores y Cargadores: Revisión y mantenimiento periódico de inversores, cargadores y demás equipos eléctricos, verificando su correcto funcionamiento, ventilación, protecciones eléctricas y registros de eventos o fallas.</w:t>
      </w:r>
    </w:p>
    <w:p w14:paraId="56D3AFCB" w14:textId="35E95C17" w:rsidR="4A6F696A" w:rsidRDefault="4A6F696A" w:rsidP="003408E6">
      <w:pPr>
        <w:pStyle w:val="Prrafodelista"/>
        <w:numPr>
          <w:ilvl w:val="0"/>
          <w:numId w:val="10"/>
        </w:numPr>
        <w:ind w:left="360"/>
        <w:jc w:val="both"/>
        <w:rPr>
          <w:rFonts w:ascii="Calibri" w:eastAsia="Calibri" w:hAnsi="Calibri" w:cs="Calibri"/>
          <w:sz w:val="20"/>
          <w:szCs w:val="20"/>
          <w:lang w:val="es"/>
        </w:rPr>
      </w:pPr>
      <w:r w:rsidRPr="3C234025">
        <w:rPr>
          <w:rFonts w:ascii="Calibri" w:eastAsia="Calibri" w:hAnsi="Calibri" w:cs="Calibri"/>
          <w:sz w:val="20"/>
          <w:szCs w:val="20"/>
          <w:lang w:val="es"/>
        </w:rPr>
        <w:t>Inspección de Cableado y Conexiones: Verificación del estado de conductores, conectores, tableros y puntos de conexión eléctrica, tanto del SSFV</w:t>
      </w:r>
      <w:r w:rsidR="5E49E0B8" w:rsidRPr="3C234025">
        <w:rPr>
          <w:rFonts w:ascii="Calibri" w:eastAsia="Calibri" w:hAnsi="Calibri" w:cs="Calibri"/>
          <w:sz w:val="20"/>
          <w:szCs w:val="20"/>
          <w:lang w:val="es"/>
        </w:rPr>
        <w:t xml:space="preserve"> como de los demás equipos eléctricos</w:t>
      </w:r>
      <w:r w:rsidRPr="3C234025">
        <w:rPr>
          <w:rFonts w:ascii="Calibri" w:eastAsia="Calibri" w:hAnsi="Calibri" w:cs="Calibri"/>
          <w:sz w:val="20"/>
          <w:szCs w:val="20"/>
          <w:lang w:val="es"/>
        </w:rPr>
        <w:t>, con el fin de prevenir fallas por mal contacto, sobrecalentamiento, desgaste o corrosión.</w:t>
      </w:r>
    </w:p>
    <w:p w14:paraId="6CA5E77C" w14:textId="12FCC9EC" w:rsidR="4A6F696A" w:rsidRDefault="4A6F696A" w:rsidP="003408E6">
      <w:pPr>
        <w:pStyle w:val="Prrafodelista"/>
        <w:numPr>
          <w:ilvl w:val="0"/>
          <w:numId w:val="10"/>
        </w:numPr>
        <w:ind w:left="360"/>
        <w:jc w:val="both"/>
        <w:rPr>
          <w:rFonts w:ascii="Calibri" w:eastAsia="Calibri" w:hAnsi="Calibri" w:cs="Calibri"/>
          <w:sz w:val="20"/>
          <w:szCs w:val="20"/>
          <w:lang w:val="es"/>
        </w:rPr>
      </w:pPr>
      <w:r w:rsidRPr="3C234025">
        <w:rPr>
          <w:rFonts w:ascii="Calibri" w:eastAsia="Calibri" w:hAnsi="Calibri" w:cs="Calibri"/>
          <w:sz w:val="20"/>
          <w:szCs w:val="20"/>
          <w:lang w:val="es"/>
        </w:rPr>
        <w:t>Inspección de Estructuras de Soporte: Evaluación de la integridad estructural de los soportes de los paneles solares y de l</w:t>
      </w:r>
      <w:r w:rsidR="38C080A5" w:rsidRPr="3C234025">
        <w:rPr>
          <w:rFonts w:ascii="Calibri" w:eastAsia="Calibri" w:hAnsi="Calibri" w:cs="Calibri"/>
          <w:sz w:val="20"/>
          <w:szCs w:val="20"/>
          <w:lang w:val="es"/>
        </w:rPr>
        <w:t>os equipos de laboratorio</w:t>
      </w:r>
      <w:r w:rsidRPr="3C234025">
        <w:rPr>
          <w:rFonts w:ascii="Calibri" w:eastAsia="Calibri" w:hAnsi="Calibri" w:cs="Calibri"/>
          <w:sz w:val="20"/>
          <w:szCs w:val="20"/>
          <w:lang w:val="es"/>
        </w:rPr>
        <w:t>, verificando anclajes, fijaciones, nivelación y posibles procesos de corrosión o fatiga estructural.</w:t>
      </w:r>
    </w:p>
    <w:p w14:paraId="686027AF" w14:textId="644693B7"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8AADB95" w14:textId="5398D5E1" w:rsidR="4A6F696A" w:rsidRDefault="40506F81" w:rsidP="3C234025">
      <w:pPr>
        <w:pStyle w:val="Ttulo2"/>
        <w:ind w:left="357" w:hanging="357"/>
        <w:jc w:val="both"/>
        <w:rPr>
          <w:rFonts w:ascii="Calibri" w:eastAsia="Calibri" w:hAnsi="Calibri" w:cs="Calibri"/>
          <w:lang w:val="es"/>
        </w:rPr>
      </w:pPr>
      <w:bookmarkStart w:id="25" w:name="_Toc247954970"/>
      <w:r w:rsidRPr="6F1EDA97">
        <w:rPr>
          <w:rFonts w:ascii="Calibri" w:eastAsia="Calibri" w:hAnsi="Calibri" w:cs="Calibri"/>
          <w:lang w:val="es"/>
        </w:rPr>
        <w:t xml:space="preserve">10.3 </w:t>
      </w:r>
      <w:r w:rsidR="4A6F696A" w:rsidRPr="6F1EDA97">
        <w:rPr>
          <w:rFonts w:ascii="Calibri" w:eastAsia="Calibri" w:hAnsi="Calibri" w:cs="Calibri"/>
          <w:lang w:val="es"/>
        </w:rPr>
        <w:t>Mantenimiento por garantía</w:t>
      </w:r>
      <w:bookmarkEnd w:id="25"/>
    </w:p>
    <w:p w14:paraId="667B9091" w14:textId="5256B343"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8BB9DE2" w14:textId="37A2CBD6" w:rsidR="4A6F696A" w:rsidRDefault="4A6F696A" w:rsidP="003408E6">
      <w:pPr>
        <w:pStyle w:val="Prrafodelista"/>
        <w:numPr>
          <w:ilvl w:val="0"/>
          <w:numId w:val="9"/>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Reemplazo de Equipos o Partes Defectuosas: Sustitución de componentes dañados o con fallas irreparables, incluyendo baterías, módulos de potencia, controladores, inversores, módulos solares, seccionadores, protecciones eléctricas y demás elementos críticos del sistema, cuando haya lugar a ello por garantía de acuerdo con las garantías legales. </w:t>
      </w:r>
    </w:p>
    <w:p w14:paraId="6B987806" w14:textId="3298CB5F" w:rsidR="4A6F696A" w:rsidRDefault="4A6F696A" w:rsidP="003408E6">
      <w:pPr>
        <w:pStyle w:val="Prrafodelista"/>
        <w:numPr>
          <w:ilvl w:val="0"/>
          <w:numId w:val="9"/>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Respuestas a Emergencias: Activación de protocolos de atención inmediata ante fallas críticas que afecten los laboratorios tecnológicos, con el fin de minimizar tiempos de indisponibilidad y garantizar la continuidad del servicio.</w:t>
      </w:r>
    </w:p>
    <w:p w14:paraId="309F3360" w14:textId="65C88E8A" w:rsidR="4A6F696A" w:rsidRDefault="4A6F696A" w:rsidP="003408E6">
      <w:pPr>
        <w:pStyle w:val="Prrafodelista"/>
        <w:numPr>
          <w:ilvl w:val="0"/>
          <w:numId w:val="9"/>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Registro y seguimiento de fallas: Documentación de las intervenciones correctivas realizadas, incluyendo causa raíz, acciones ejecutadas y recomendaciones para prevenir recurrencias, como insumo para la gestión del </w:t>
      </w:r>
      <w:r w:rsidR="465CA812" w:rsidRPr="62C29527">
        <w:rPr>
          <w:rFonts w:ascii="Calibri" w:eastAsia="Calibri" w:hAnsi="Calibri" w:cs="Calibri"/>
          <w:sz w:val="20"/>
          <w:szCs w:val="20"/>
          <w:lang w:val="es"/>
        </w:rPr>
        <w:t>mantenimiento</w:t>
      </w:r>
      <w:r w:rsidRPr="62C29527">
        <w:rPr>
          <w:rFonts w:ascii="Calibri" w:eastAsia="Calibri" w:hAnsi="Calibri" w:cs="Calibri"/>
          <w:sz w:val="20"/>
          <w:szCs w:val="20"/>
          <w:lang w:val="es"/>
        </w:rPr>
        <w:t xml:space="preserve"> y la mejora continua del sistema.</w:t>
      </w:r>
    </w:p>
    <w:p w14:paraId="28752A02" w14:textId="2A3E3684"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D96729F" w14:textId="027E8F2B" w:rsidR="4A6F696A" w:rsidRDefault="6AA471B0" w:rsidP="3C234025">
      <w:pPr>
        <w:pStyle w:val="Ttulo2"/>
        <w:ind w:left="357" w:hanging="357"/>
        <w:jc w:val="both"/>
        <w:rPr>
          <w:rFonts w:ascii="Calibri" w:eastAsia="Calibri" w:hAnsi="Calibri" w:cs="Calibri"/>
          <w:lang w:val="es"/>
        </w:rPr>
      </w:pPr>
      <w:bookmarkStart w:id="26" w:name="_Toc664762516"/>
      <w:r w:rsidRPr="6F1EDA97">
        <w:rPr>
          <w:rFonts w:ascii="Calibri" w:eastAsia="Calibri" w:hAnsi="Calibri" w:cs="Calibri"/>
          <w:lang w:val="es"/>
        </w:rPr>
        <w:t xml:space="preserve">10.4 </w:t>
      </w:r>
      <w:r w:rsidR="4A6F696A" w:rsidRPr="6F1EDA97">
        <w:rPr>
          <w:rFonts w:ascii="Calibri" w:eastAsia="Calibri" w:hAnsi="Calibri" w:cs="Calibri"/>
          <w:lang w:val="es"/>
        </w:rPr>
        <w:t>Monitoreo y Análisis de Datos</w:t>
      </w:r>
      <w:bookmarkEnd w:id="26"/>
    </w:p>
    <w:p w14:paraId="2A578C64" w14:textId="7879B1CC"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A990BDD" w14:textId="260C0CD8" w:rsidR="4A6F696A" w:rsidRDefault="4A6F696A" w:rsidP="62C29527">
      <w:pPr>
        <w:tabs>
          <w:tab w:val="left" w:pos="478"/>
        </w:tabs>
        <w:jc w:val="both"/>
        <w:rPr>
          <w:rFonts w:ascii="Calibri" w:eastAsia="Calibri" w:hAnsi="Calibri" w:cs="Calibri"/>
          <w:sz w:val="20"/>
          <w:szCs w:val="20"/>
          <w:lang w:val="es"/>
        </w:rPr>
      </w:pPr>
      <w:r w:rsidRPr="62C29527">
        <w:rPr>
          <w:rFonts w:ascii="Calibri" w:eastAsia="Calibri" w:hAnsi="Calibri" w:cs="Calibri"/>
          <w:sz w:val="20"/>
          <w:szCs w:val="20"/>
          <w:lang w:val="es"/>
        </w:rPr>
        <w:t>Durante la operación de los laboratorios tecnológicos FNCER y de movilidad eléctrica, el contratista deberá realizar y reportar en informes periódicos las actividades de monitoreo y análisis de datos que permitan evaluar el desempeño integral de la iniciativa, considerando como mínimo las siguientes variables, indicadores y acciones:</w:t>
      </w:r>
    </w:p>
    <w:p w14:paraId="47D85217" w14:textId="5E0782BD" w:rsidR="4A6F696A" w:rsidRDefault="4A6F696A" w:rsidP="62C29527">
      <w:pPr>
        <w:tabs>
          <w:tab w:val="left" w:pos="478"/>
        </w:tabs>
        <w:ind w:left="838" w:hanging="360"/>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FB736E8" w14:textId="691D854A"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Indicadores ambientales:</w:t>
      </w:r>
    </w:p>
    <w:p w14:paraId="6AFF2249" w14:textId="3CE0C5ED"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 xml:space="preserve"> </w:t>
      </w:r>
    </w:p>
    <w:p w14:paraId="5CE9556D" w14:textId="245F20D8" w:rsidR="4A6F696A" w:rsidRDefault="4A6F696A" w:rsidP="003408E6">
      <w:pPr>
        <w:pStyle w:val="Prrafodelista"/>
        <w:numPr>
          <w:ilvl w:val="0"/>
          <w:numId w:val="8"/>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Reducción de emisiones de CO2 equivalentes, indicadores ambientales del Plan de Gestión Ambiental.</w:t>
      </w:r>
    </w:p>
    <w:p w14:paraId="6BA325DB" w14:textId="03B3E833" w:rsidR="4A6F696A" w:rsidRDefault="4A6F696A" w:rsidP="003408E6">
      <w:pPr>
        <w:pStyle w:val="Prrafodelista"/>
        <w:numPr>
          <w:ilvl w:val="0"/>
          <w:numId w:val="8"/>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Monitoreo de los indicadores ambientales definidos en el Plan de Manejo Ambiental (PMA) o Plan de Gestión Ambiental (PGA).</w:t>
      </w:r>
    </w:p>
    <w:p w14:paraId="340E6F71" w14:textId="3FE87CF7" w:rsidR="4A6F696A" w:rsidRDefault="4A6F696A" w:rsidP="62C29527">
      <w:pPr>
        <w:tabs>
          <w:tab w:val="left" w:pos="478"/>
        </w:tabs>
        <w:ind w:left="838" w:hanging="360"/>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B6066D4" w14:textId="41366CDD"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Indicadores económicos:</w:t>
      </w:r>
    </w:p>
    <w:p w14:paraId="04141754" w14:textId="221C33CF"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 xml:space="preserve"> </w:t>
      </w:r>
    </w:p>
    <w:p w14:paraId="2183FEAC" w14:textId="2689F473"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62C29527">
        <w:rPr>
          <w:rFonts w:ascii="Calibri" w:eastAsia="Calibri" w:hAnsi="Calibri" w:cs="Calibri"/>
          <w:sz w:val="20"/>
          <w:szCs w:val="20"/>
          <w:lang w:val="es"/>
        </w:rPr>
        <w:t>Estimación del ahorro económico de los beneficiarios asociado a la reducción en costos de energía y combustible.</w:t>
      </w:r>
    </w:p>
    <w:p w14:paraId="0144934C" w14:textId="6610D48B"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62C29527">
        <w:rPr>
          <w:rFonts w:ascii="Calibri" w:eastAsia="Calibri" w:hAnsi="Calibri" w:cs="Calibri"/>
          <w:sz w:val="20"/>
          <w:szCs w:val="20"/>
          <w:lang w:val="es"/>
        </w:rPr>
        <w:t>Cálculo del ahorro económico para el Estado derivado de la disminución de subsidios a la energía y combustibles, cuando aplique.</w:t>
      </w:r>
    </w:p>
    <w:p w14:paraId="3D8CE6B9" w14:textId="5117BD94" w:rsidR="4A6F696A" w:rsidRDefault="4A6F696A" w:rsidP="62C29527">
      <w:pPr>
        <w:tabs>
          <w:tab w:val="left" w:pos="478"/>
        </w:tabs>
        <w:ind w:left="838" w:hanging="360"/>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D663DA3" w14:textId="5B81480D"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Indicadores técnicos:</w:t>
      </w:r>
    </w:p>
    <w:p w14:paraId="64D6264C" w14:textId="7C97DCDE"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 xml:space="preserve"> </w:t>
      </w:r>
    </w:p>
    <w:p w14:paraId="2746E6DD" w14:textId="26EA5CD7" w:rsidR="4A6F696A" w:rsidRDefault="4A6F696A" w:rsidP="003408E6">
      <w:pPr>
        <w:pStyle w:val="Prrafodelista"/>
        <w:numPr>
          <w:ilvl w:val="0"/>
          <w:numId w:val="7"/>
        </w:numPr>
        <w:ind w:left="357" w:hanging="357"/>
        <w:jc w:val="both"/>
        <w:rPr>
          <w:rFonts w:ascii="Calibri" w:eastAsia="Calibri" w:hAnsi="Calibri" w:cs="Calibri"/>
          <w:sz w:val="20"/>
          <w:szCs w:val="20"/>
        </w:rPr>
      </w:pPr>
      <w:r w:rsidRPr="3C234025">
        <w:rPr>
          <w:rFonts w:ascii="Calibri" w:eastAsia="Calibri" w:hAnsi="Calibri" w:cs="Calibri"/>
          <w:sz w:val="20"/>
          <w:szCs w:val="20"/>
        </w:rPr>
        <w:t>Energía mensual y acumulada generada y/o consumida por cada sistema de laboratorio (solar, eólico</w:t>
      </w:r>
      <w:r w:rsidR="44B7EC62" w:rsidRPr="3C234025">
        <w:rPr>
          <w:rFonts w:ascii="Calibri" w:eastAsia="Calibri" w:hAnsi="Calibri" w:cs="Calibri"/>
          <w:sz w:val="20"/>
          <w:szCs w:val="20"/>
        </w:rPr>
        <w:t>, biomasa</w:t>
      </w:r>
      <w:r w:rsidRPr="3C234025">
        <w:rPr>
          <w:rFonts w:ascii="Calibri" w:eastAsia="Calibri" w:hAnsi="Calibri" w:cs="Calibri"/>
          <w:sz w:val="20"/>
          <w:szCs w:val="20"/>
        </w:rPr>
        <w:t xml:space="preserve">, </w:t>
      </w:r>
      <w:r w:rsidR="639BA33A" w:rsidRPr="3C234025">
        <w:rPr>
          <w:rFonts w:ascii="Calibri" w:eastAsia="Calibri" w:hAnsi="Calibri" w:cs="Calibri"/>
          <w:sz w:val="20"/>
          <w:szCs w:val="20"/>
        </w:rPr>
        <w:t>PCH y</w:t>
      </w:r>
      <w:r w:rsidRPr="3C234025">
        <w:rPr>
          <w:rFonts w:ascii="Calibri" w:eastAsia="Calibri" w:hAnsi="Calibri" w:cs="Calibri"/>
          <w:sz w:val="20"/>
          <w:szCs w:val="20"/>
        </w:rPr>
        <w:t xml:space="preserve"> movilidad eléctrica).</w:t>
      </w:r>
    </w:p>
    <w:p w14:paraId="7AF90406" w14:textId="69BB437E"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62C29527">
        <w:rPr>
          <w:rFonts w:ascii="Calibri" w:eastAsia="Calibri" w:hAnsi="Calibri" w:cs="Calibri"/>
          <w:sz w:val="20"/>
          <w:szCs w:val="20"/>
          <w:lang w:val="es"/>
        </w:rPr>
        <w:t>Disponibilidad operativa mensual de cada laboratorio tecnológico (%).</w:t>
      </w:r>
    </w:p>
    <w:p w14:paraId="483C9C5F" w14:textId="66375F55" w:rsidR="4A6F696A" w:rsidRDefault="4A6F696A" w:rsidP="62C29527">
      <w:pPr>
        <w:tabs>
          <w:tab w:val="left" w:pos="478"/>
        </w:tabs>
        <w:ind w:left="838" w:hanging="360"/>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A49FE60" w14:textId="08933262"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Indicadores sociales:</w:t>
      </w:r>
    </w:p>
    <w:p w14:paraId="517FC15F" w14:textId="2FE3CD88"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 xml:space="preserve"> </w:t>
      </w:r>
    </w:p>
    <w:p w14:paraId="7ED188DA" w14:textId="7F789140"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62C29527">
        <w:rPr>
          <w:rFonts w:ascii="Calibri" w:eastAsia="Calibri" w:hAnsi="Calibri" w:cs="Calibri"/>
          <w:sz w:val="20"/>
          <w:szCs w:val="20"/>
          <w:lang w:val="es"/>
        </w:rPr>
        <w:t>Seguimiento a las actividades definidas en el PMA o PGA relacionadas con impactos sociales.</w:t>
      </w:r>
    </w:p>
    <w:p w14:paraId="30863BDB" w14:textId="0293CD00"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62C29527">
        <w:rPr>
          <w:rFonts w:ascii="Calibri" w:eastAsia="Calibri" w:hAnsi="Calibri" w:cs="Calibri"/>
          <w:sz w:val="20"/>
          <w:szCs w:val="20"/>
          <w:lang w:val="es"/>
        </w:rPr>
        <w:t>Realización de evaluaciones periódicas para medir el avance de las actividades y su efecto en la comunidad, verificando el cumplimiento de los objetivos concertados con el FONDO.</w:t>
      </w:r>
    </w:p>
    <w:p w14:paraId="64DFCD50" w14:textId="61FA34EA" w:rsidR="4A6F696A" w:rsidRDefault="4A6F696A" w:rsidP="62C29527">
      <w:pPr>
        <w:tabs>
          <w:tab w:val="left" w:pos="478"/>
        </w:tabs>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1F9E3830" w14:textId="7A04AE98"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Registro y gestión de información energética:</w:t>
      </w:r>
    </w:p>
    <w:p w14:paraId="3750995E" w14:textId="1375CA8D"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 xml:space="preserve"> </w:t>
      </w:r>
    </w:p>
    <w:p w14:paraId="330BE153" w14:textId="167EF649"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62C29527">
        <w:rPr>
          <w:rFonts w:ascii="Calibri" w:eastAsia="Calibri" w:hAnsi="Calibri" w:cs="Calibri"/>
          <w:sz w:val="20"/>
          <w:szCs w:val="20"/>
          <w:lang w:val="es"/>
        </w:rPr>
        <w:t>Monitoreo continuo y registro de la energía generada y utilizada por el sistema.</w:t>
      </w:r>
    </w:p>
    <w:p w14:paraId="72620F85" w14:textId="05B79479"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62C29527">
        <w:rPr>
          <w:rFonts w:ascii="Calibri" w:eastAsia="Calibri" w:hAnsi="Calibri" w:cs="Calibri"/>
          <w:sz w:val="20"/>
          <w:szCs w:val="20"/>
          <w:lang w:val="es"/>
        </w:rPr>
        <w:t>Consolidación y almacenamiento de la información operativa de los sistemas.</w:t>
      </w:r>
    </w:p>
    <w:p w14:paraId="2DBB85CA" w14:textId="318646BF" w:rsidR="4A6F696A" w:rsidRDefault="4A6F696A" w:rsidP="62C29527">
      <w:pPr>
        <w:tabs>
          <w:tab w:val="left" w:pos="478"/>
        </w:tabs>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99B9588" w14:textId="675CB878"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Análisis de Datos:</w:t>
      </w:r>
    </w:p>
    <w:p w14:paraId="38E9D2A9" w14:textId="17370414"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 xml:space="preserve"> </w:t>
      </w:r>
    </w:p>
    <w:p w14:paraId="7DBCF4F2" w14:textId="67E6AF03"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62C29527">
        <w:rPr>
          <w:rFonts w:ascii="Calibri" w:eastAsia="Calibri" w:hAnsi="Calibri" w:cs="Calibri"/>
          <w:sz w:val="20"/>
          <w:szCs w:val="20"/>
          <w:lang w:val="es"/>
        </w:rPr>
        <w:t>Análisis de tendencias de rendimiento.</w:t>
      </w:r>
    </w:p>
    <w:p w14:paraId="4D551A4F" w14:textId="4135B79D"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62C29527">
        <w:rPr>
          <w:rFonts w:ascii="Calibri" w:eastAsia="Calibri" w:hAnsi="Calibri" w:cs="Calibri"/>
          <w:sz w:val="20"/>
          <w:szCs w:val="20"/>
          <w:lang w:val="es"/>
        </w:rPr>
        <w:t>Identificación temprana de posibles fallos o disminuciones en el desempeño.</w:t>
      </w:r>
    </w:p>
    <w:p w14:paraId="6D3E08F6" w14:textId="2A912790"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62C29527">
        <w:rPr>
          <w:rFonts w:ascii="Calibri" w:eastAsia="Calibri" w:hAnsi="Calibri" w:cs="Calibri"/>
          <w:sz w:val="20"/>
          <w:szCs w:val="20"/>
          <w:lang w:val="es"/>
        </w:rPr>
        <w:t>Propuesta e implementación de acciones de mejora en la operación del sistema.</w:t>
      </w:r>
    </w:p>
    <w:p w14:paraId="663202E7" w14:textId="21CB8A4A" w:rsidR="4A6F696A" w:rsidRDefault="4A6F696A" w:rsidP="62C29527">
      <w:pPr>
        <w:tabs>
          <w:tab w:val="left" w:pos="478"/>
        </w:tabs>
        <w:ind w:left="838" w:hanging="360"/>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2F9CC834" w14:textId="78645CB8"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Informes de Desempeño:</w:t>
      </w:r>
    </w:p>
    <w:p w14:paraId="7D1F3FF7" w14:textId="313883E8"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 xml:space="preserve"> </w:t>
      </w:r>
    </w:p>
    <w:p w14:paraId="73165962" w14:textId="0B238C43"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62C29527">
        <w:rPr>
          <w:rFonts w:ascii="Calibri" w:eastAsia="Calibri" w:hAnsi="Calibri" w:cs="Calibri"/>
          <w:sz w:val="20"/>
          <w:szCs w:val="20"/>
          <w:lang w:val="es"/>
        </w:rPr>
        <w:t>Rendimiento de cada laboratorio tecnológico, fallos detectados, intervenciones de mantenimiento y cumplimiento de las proyecciones de generación y operación.</w:t>
      </w:r>
    </w:p>
    <w:p w14:paraId="790C372F" w14:textId="79166226" w:rsidR="4A6F696A" w:rsidRDefault="4A6F696A" w:rsidP="62C29527">
      <w:pPr>
        <w:tabs>
          <w:tab w:val="left" w:pos="478"/>
        </w:tabs>
        <w:ind w:left="838"/>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D8DD893" w14:textId="324AE912"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Verificación de garantías:</w:t>
      </w:r>
    </w:p>
    <w:p w14:paraId="6F499040" w14:textId="3C87754E"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 xml:space="preserve"> </w:t>
      </w:r>
    </w:p>
    <w:p w14:paraId="177A67FC" w14:textId="10D4F3A9"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62C29527">
        <w:rPr>
          <w:rFonts w:ascii="Calibri" w:eastAsia="Calibri" w:hAnsi="Calibri" w:cs="Calibri"/>
          <w:sz w:val="20"/>
          <w:szCs w:val="20"/>
          <w:lang w:val="es"/>
        </w:rPr>
        <w:t>Seguimiento y verificación del cumplimiento de las garantías de rendimiento establecidas por los fabricantes de los equipos y componentes.</w:t>
      </w:r>
    </w:p>
    <w:p w14:paraId="2B35FA2E" w14:textId="371A823E" w:rsidR="4A6F696A" w:rsidRDefault="4A6F696A" w:rsidP="62C29527">
      <w:pPr>
        <w:tabs>
          <w:tab w:val="left" w:pos="478"/>
        </w:tabs>
        <w:ind w:left="838" w:hanging="360"/>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C833300" w14:textId="3F9376BF"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Mecanismos de transmisión de datos:</w:t>
      </w:r>
    </w:p>
    <w:p w14:paraId="6C157732" w14:textId="4338CF49" w:rsidR="4A6F696A" w:rsidRDefault="4A6F696A" w:rsidP="62C29527">
      <w:pPr>
        <w:tabs>
          <w:tab w:val="left" w:pos="478"/>
        </w:tabs>
        <w:jc w:val="both"/>
        <w:rPr>
          <w:rFonts w:ascii="Calibri" w:eastAsia="Calibri" w:hAnsi="Calibri" w:cs="Calibri"/>
          <w:b/>
          <w:bCs/>
          <w:sz w:val="20"/>
          <w:szCs w:val="20"/>
          <w:lang w:val="es"/>
        </w:rPr>
      </w:pPr>
      <w:r w:rsidRPr="62C29527">
        <w:rPr>
          <w:rFonts w:ascii="Calibri" w:eastAsia="Calibri" w:hAnsi="Calibri" w:cs="Calibri"/>
          <w:b/>
          <w:bCs/>
          <w:sz w:val="20"/>
          <w:szCs w:val="20"/>
          <w:lang w:val="es"/>
        </w:rPr>
        <w:t xml:space="preserve"> </w:t>
      </w:r>
    </w:p>
    <w:p w14:paraId="29EFE4F6" w14:textId="2836B1CC" w:rsidR="4A6F696A" w:rsidRDefault="4A6F696A" w:rsidP="3C234025">
      <w:pPr>
        <w:pStyle w:val="Prrafodelista"/>
        <w:numPr>
          <w:ilvl w:val="0"/>
          <w:numId w:val="7"/>
        </w:numPr>
        <w:ind w:left="357" w:hanging="357"/>
        <w:jc w:val="both"/>
        <w:rPr>
          <w:rFonts w:ascii="Calibri" w:eastAsia="Calibri" w:hAnsi="Calibri" w:cs="Calibri"/>
          <w:sz w:val="20"/>
          <w:szCs w:val="20"/>
        </w:rPr>
      </w:pPr>
      <w:r w:rsidRPr="3C234025">
        <w:rPr>
          <w:rFonts w:ascii="Calibri" w:eastAsia="Calibri" w:hAnsi="Calibri" w:cs="Calibri"/>
          <w:sz w:val="20"/>
          <w:szCs w:val="20"/>
        </w:rPr>
        <w:t>Garantizar</w:t>
      </w:r>
      <w:r w:rsidR="1BC4C687" w:rsidRPr="3C234025">
        <w:rPr>
          <w:rFonts w:ascii="Calibri" w:eastAsia="Calibri" w:hAnsi="Calibri" w:cs="Calibri"/>
          <w:sz w:val="20"/>
          <w:szCs w:val="20"/>
        </w:rPr>
        <w:t xml:space="preserve"> en la puesta en marcha</w:t>
      </w:r>
      <w:r w:rsidR="17B069B8" w:rsidRPr="3C234025">
        <w:rPr>
          <w:rFonts w:ascii="Calibri" w:eastAsia="Calibri" w:hAnsi="Calibri" w:cs="Calibri"/>
          <w:sz w:val="20"/>
          <w:szCs w:val="20"/>
        </w:rPr>
        <w:t xml:space="preserve"> la instalación del software de lectura de datos en el PC y</w:t>
      </w:r>
      <w:r w:rsidRPr="3C234025">
        <w:rPr>
          <w:rFonts w:ascii="Calibri" w:eastAsia="Calibri" w:hAnsi="Calibri" w:cs="Calibri"/>
          <w:sz w:val="20"/>
          <w:szCs w:val="20"/>
        </w:rPr>
        <w:t xml:space="preserve"> la </w:t>
      </w:r>
      <w:r w:rsidR="071C97B9" w:rsidRPr="3C234025">
        <w:rPr>
          <w:rFonts w:ascii="Calibri" w:eastAsia="Calibri" w:hAnsi="Calibri" w:cs="Calibri"/>
          <w:sz w:val="20"/>
          <w:szCs w:val="20"/>
        </w:rPr>
        <w:t>conexión con</w:t>
      </w:r>
      <w:r w:rsidRPr="3C234025">
        <w:rPr>
          <w:rFonts w:ascii="Calibri" w:eastAsia="Calibri" w:hAnsi="Calibri" w:cs="Calibri"/>
          <w:sz w:val="20"/>
          <w:szCs w:val="20"/>
        </w:rPr>
        <w:t xml:space="preserve"> </w:t>
      </w:r>
      <w:r w:rsidR="5E031561" w:rsidRPr="3C234025">
        <w:rPr>
          <w:rFonts w:ascii="Calibri" w:eastAsia="Calibri" w:hAnsi="Calibri" w:cs="Calibri"/>
          <w:sz w:val="20"/>
          <w:szCs w:val="20"/>
        </w:rPr>
        <w:t>el</w:t>
      </w:r>
      <w:r w:rsidRPr="3C234025">
        <w:rPr>
          <w:rFonts w:ascii="Calibri" w:eastAsia="Calibri" w:hAnsi="Calibri" w:cs="Calibri"/>
          <w:sz w:val="20"/>
          <w:szCs w:val="20"/>
        </w:rPr>
        <w:t xml:space="preserve"> sistema de transferencia de datos para el cargue y recepción de información, mediante tecnologías como </w:t>
      </w:r>
      <w:r w:rsidR="580982CE" w:rsidRPr="3C234025">
        <w:rPr>
          <w:rFonts w:ascii="Calibri" w:eastAsia="Calibri" w:hAnsi="Calibri" w:cs="Calibri"/>
          <w:sz w:val="20"/>
          <w:szCs w:val="20"/>
        </w:rPr>
        <w:t>cable</w:t>
      </w:r>
      <w:r w:rsidRPr="3C234025">
        <w:rPr>
          <w:rFonts w:ascii="Calibri" w:eastAsia="Calibri" w:hAnsi="Calibri" w:cs="Calibri"/>
          <w:sz w:val="20"/>
          <w:szCs w:val="20"/>
        </w:rPr>
        <w:t>, wifi u otros medios equivalentes, según las condiciones del sitio.</w:t>
      </w:r>
    </w:p>
    <w:p w14:paraId="60707AB6" w14:textId="1272C118" w:rsidR="3C234025" w:rsidRDefault="3C234025" w:rsidP="3C234025">
      <w:pPr>
        <w:pStyle w:val="Prrafodelista"/>
        <w:ind w:left="357" w:hanging="357"/>
        <w:jc w:val="both"/>
        <w:rPr>
          <w:rFonts w:ascii="Calibri" w:eastAsia="Calibri" w:hAnsi="Calibri" w:cs="Calibri"/>
          <w:sz w:val="20"/>
          <w:szCs w:val="20"/>
          <w:lang w:val="es"/>
        </w:rPr>
      </w:pPr>
    </w:p>
    <w:p w14:paraId="7708831D" w14:textId="7A14FCD7" w:rsidR="4A6F696A" w:rsidRDefault="2B755326" w:rsidP="3C234025">
      <w:pPr>
        <w:pStyle w:val="Ttulo2"/>
        <w:ind w:left="357" w:hanging="357"/>
        <w:jc w:val="both"/>
        <w:rPr>
          <w:rFonts w:ascii="Calibri" w:eastAsia="Calibri" w:hAnsi="Calibri" w:cs="Calibri"/>
          <w:lang w:val="es"/>
        </w:rPr>
      </w:pPr>
      <w:bookmarkStart w:id="27" w:name="_Toc1387629543"/>
      <w:r w:rsidRPr="6F1EDA97">
        <w:rPr>
          <w:rFonts w:ascii="Calibri" w:eastAsia="Calibri" w:hAnsi="Calibri" w:cs="Calibri"/>
          <w:lang w:val="es"/>
        </w:rPr>
        <w:t xml:space="preserve">10.5 </w:t>
      </w:r>
      <w:r w:rsidR="4A6F696A" w:rsidRPr="6F1EDA97">
        <w:rPr>
          <w:rFonts w:ascii="Calibri" w:eastAsia="Calibri" w:hAnsi="Calibri" w:cs="Calibri"/>
          <w:lang w:val="es"/>
        </w:rPr>
        <w:t>Seguridad y Cumplimiento Ambiental</w:t>
      </w:r>
      <w:bookmarkEnd w:id="27"/>
    </w:p>
    <w:p w14:paraId="2B03AACE" w14:textId="16AD227B"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DFB58D7" w14:textId="1382D846"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62C29527">
        <w:rPr>
          <w:rFonts w:ascii="Calibri" w:eastAsia="Calibri" w:hAnsi="Calibri" w:cs="Calibri"/>
          <w:sz w:val="20"/>
          <w:szCs w:val="20"/>
          <w:lang w:val="es"/>
        </w:rPr>
        <w:t>Implementación de Protocolos de Seguridad: Asegurar la correcta capacitación de los técnicos en las mejores prácticas de seguridad al trabajar en sistemas eléctricos y en altura (en el caso de sistemas elevados).</w:t>
      </w:r>
    </w:p>
    <w:p w14:paraId="7F804D25" w14:textId="593948C5"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62C29527">
        <w:rPr>
          <w:rFonts w:ascii="Calibri" w:eastAsia="Calibri" w:hAnsi="Calibri" w:cs="Calibri"/>
          <w:sz w:val="20"/>
          <w:szCs w:val="20"/>
          <w:lang w:val="es"/>
        </w:rPr>
        <w:t>Inspección de Sistemas de Protección Contra Sobretensiones: Verificar que los sistemas de protección contra descargas atmosféricas y sobretensiones funcionan correctamente.</w:t>
      </w:r>
    </w:p>
    <w:p w14:paraId="484C4014" w14:textId="7E3207DF"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62C29527">
        <w:rPr>
          <w:rFonts w:ascii="Calibri" w:eastAsia="Calibri" w:hAnsi="Calibri" w:cs="Calibri"/>
          <w:sz w:val="20"/>
          <w:szCs w:val="20"/>
          <w:lang w:val="es"/>
        </w:rPr>
        <w:t>Gestión de Residuos y Sustitución de Equipos: Manejo adecuado de residuos generados en la operación y mantenimiento, incluyendo la disposición responsable de baterías y equipos retirados.</w:t>
      </w:r>
    </w:p>
    <w:p w14:paraId="5D189AD0" w14:textId="1A08DD49"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38A25E75">
        <w:rPr>
          <w:rFonts w:ascii="Calibri" w:eastAsia="Calibri" w:hAnsi="Calibri" w:cs="Calibri"/>
          <w:sz w:val="20"/>
          <w:szCs w:val="20"/>
          <w:lang w:val="es"/>
        </w:rPr>
        <w:t>Cumplimiento de Normas Medioambientales: Supervisión del cumplimiento de las normativas ambientales relacionadas con la operación de los laboratorios tecnológicos.</w:t>
      </w:r>
    </w:p>
    <w:p w14:paraId="02C3B5D8" w14:textId="119BE97A" w:rsidR="4A6F696A" w:rsidRDefault="4A6F696A" w:rsidP="003408E6">
      <w:pPr>
        <w:pStyle w:val="Prrafodelista"/>
        <w:numPr>
          <w:ilvl w:val="0"/>
          <w:numId w:val="7"/>
        </w:numPr>
        <w:ind w:left="357" w:hanging="357"/>
        <w:jc w:val="both"/>
        <w:rPr>
          <w:rFonts w:ascii="Calibri" w:eastAsia="Calibri" w:hAnsi="Calibri" w:cs="Calibri"/>
          <w:sz w:val="20"/>
          <w:szCs w:val="20"/>
          <w:lang w:val="es"/>
        </w:rPr>
      </w:pPr>
      <w:r w:rsidRPr="3C234025">
        <w:rPr>
          <w:rFonts w:ascii="Calibri" w:eastAsia="Calibri" w:hAnsi="Calibri" w:cs="Calibri"/>
          <w:sz w:val="20"/>
          <w:szCs w:val="20"/>
          <w:lang w:val="es"/>
        </w:rPr>
        <w:t>Dar cumplimiento a la normativa ambiental y social vigente, así como a las medidas y demás disposiciones del PGA o PMA.</w:t>
      </w:r>
    </w:p>
    <w:p w14:paraId="1FF4458D" w14:textId="4D47652B" w:rsidR="4A6F696A" w:rsidRDefault="4A6F696A" w:rsidP="3C234025">
      <w:pPr>
        <w:jc w:val="both"/>
        <w:rPr>
          <w:rFonts w:ascii="Calibri" w:eastAsia="Calibri" w:hAnsi="Calibri" w:cs="Calibri"/>
          <w:sz w:val="20"/>
          <w:szCs w:val="20"/>
          <w:lang w:val="es"/>
        </w:rPr>
      </w:pPr>
    </w:p>
    <w:p w14:paraId="6EAB2838" w14:textId="51DE891B" w:rsidR="4A6F696A" w:rsidRDefault="7AF744DA" w:rsidP="3C234025">
      <w:pPr>
        <w:pStyle w:val="Ttulo2"/>
        <w:ind w:left="357" w:hanging="357"/>
        <w:jc w:val="both"/>
        <w:rPr>
          <w:rFonts w:ascii="Calibri" w:eastAsia="Calibri" w:hAnsi="Calibri" w:cs="Calibri"/>
          <w:lang w:val="es"/>
        </w:rPr>
      </w:pPr>
      <w:bookmarkStart w:id="28" w:name="_Toc1393666151"/>
      <w:r w:rsidRPr="6F1EDA97">
        <w:rPr>
          <w:rFonts w:ascii="Calibri" w:eastAsia="Calibri" w:hAnsi="Calibri" w:cs="Calibri"/>
          <w:lang w:val="es"/>
        </w:rPr>
        <w:t xml:space="preserve">10.6 </w:t>
      </w:r>
      <w:r w:rsidR="4A6F696A" w:rsidRPr="6F1EDA97">
        <w:rPr>
          <w:rFonts w:ascii="Calibri" w:eastAsia="Calibri" w:hAnsi="Calibri" w:cs="Calibri"/>
          <w:lang w:val="es"/>
        </w:rPr>
        <w:t>Gestión de Repuestos y logística</w:t>
      </w:r>
      <w:bookmarkEnd w:id="28"/>
    </w:p>
    <w:p w14:paraId="2BF95BFE" w14:textId="6BCA16FF"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A065B79" w14:textId="36F07747" w:rsidR="4A6F696A" w:rsidRDefault="4A6F696A" w:rsidP="003408E6">
      <w:pPr>
        <w:pStyle w:val="Prrafodelista"/>
        <w:numPr>
          <w:ilvl w:val="0"/>
          <w:numId w:val="6"/>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Inventario de Repuestos: Mantener un inventario de repuestos críticos, como módulos solares, fusibles, inversores, cables, sensores y componentes críticos de cada tipo de laboratorio, entre otros, para minimizar tiempos de reparación. Lo anterior como parte también del cumplimiento de garantías de productos y servicios.</w:t>
      </w:r>
    </w:p>
    <w:p w14:paraId="37011EF8" w14:textId="498C8DFD" w:rsidR="4A6F696A" w:rsidRDefault="4A6F696A" w:rsidP="003408E6">
      <w:pPr>
        <w:pStyle w:val="Prrafodelista"/>
        <w:numPr>
          <w:ilvl w:val="0"/>
          <w:numId w:val="6"/>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Logística de Mantenimiento: Planificación de la logística de transporte, instalación y mantenimiento de los equipos y repuestos.</w:t>
      </w:r>
    </w:p>
    <w:p w14:paraId="462EC244" w14:textId="42DC22CF"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269ABB5D" w14:textId="41E24ECA" w:rsidR="4A6F696A" w:rsidRDefault="2E398591" w:rsidP="3C234025">
      <w:pPr>
        <w:pStyle w:val="Ttulo2"/>
        <w:ind w:left="357" w:hanging="357"/>
        <w:jc w:val="both"/>
        <w:rPr>
          <w:rFonts w:ascii="Calibri" w:eastAsia="Calibri" w:hAnsi="Calibri" w:cs="Calibri"/>
          <w:lang w:val="es"/>
        </w:rPr>
      </w:pPr>
      <w:bookmarkStart w:id="29" w:name="_Toc1475801109"/>
      <w:r w:rsidRPr="6F1EDA97">
        <w:rPr>
          <w:rFonts w:ascii="Calibri" w:eastAsia="Calibri" w:hAnsi="Calibri" w:cs="Calibri"/>
          <w:lang w:val="es"/>
        </w:rPr>
        <w:t xml:space="preserve">10.7 </w:t>
      </w:r>
      <w:r w:rsidR="4A6F696A" w:rsidRPr="6F1EDA97">
        <w:rPr>
          <w:rFonts w:ascii="Calibri" w:eastAsia="Calibri" w:hAnsi="Calibri" w:cs="Calibri"/>
          <w:lang w:val="es"/>
        </w:rPr>
        <w:t>Capacitación y Gestión del Personal</w:t>
      </w:r>
      <w:bookmarkEnd w:id="29"/>
    </w:p>
    <w:p w14:paraId="2798FA35" w14:textId="34E35E7B"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07E55E8" w14:textId="1994075C" w:rsidR="4A6F696A" w:rsidRDefault="4A6F696A" w:rsidP="003408E6">
      <w:pPr>
        <w:pStyle w:val="Prrafodelista"/>
        <w:numPr>
          <w:ilvl w:val="0"/>
          <w:numId w:val="5"/>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Entrenamiento del Personal Técnico: Asegurar la continua formación de los técnicos en las últimas tecnologías y mejores prácticas para el mantenimiento y operación de los laboratorios tecnológicos FNCER y de movilidad eléctrica.</w:t>
      </w:r>
    </w:p>
    <w:p w14:paraId="12509C54" w14:textId="4B484A41" w:rsidR="4A6F696A" w:rsidRDefault="4A6F696A" w:rsidP="003408E6">
      <w:pPr>
        <w:pStyle w:val="Prrafodelista"/>
        <w:numPr>
          <w:ilvl w:val="0"/>
          <w:numId w:val="5"/>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Supervisión y Coordinación de Trabajos: Planificación y coordinación de las tareas de los equipos de mantenimiento, asegurando que se sigan los procedimientos establecidos.</w:t>
      </w:r>
    </w:p>
    <w:p w14:paraId="4DE5C7E7" w14:textId="41968729" w:rsidR="4A6F696A" w:rsidRDefault="4A6F696A" w:rsidP="003408E6">
      <w:pPr>
        <w:pStyle w:val="Prrafodelista"/>
        <w:numPr>
          <w:ilvl w:val="0"/>
          <w:numId w:val="5"/>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Evaluación del Desempeño del Personal: Monitorear y evaluar el rendimiento del personal técnico para asegurar que se cumplan los estándares de calidad y seguridad.</w:t>
      </w:r>
    </w:p>
    <w:p w14:paraId="41FE8342" w14:textId="07336A7B" w:rsidR="4A6F696A" w:rsidRDefault="4A6F696A" w:rsidP="62C29527">
      <w:pPr>
        <w:tabs>
          <w:tab w:val="left" w:pos="838"/>
        </w:tabs>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68C9B87D" w14:textId="03BA53B8" w:rsidR="4A6F696A" w:rsidRDefault="0E453605" w:rsidP="3C234025">
      <w:pPr>
        <w:pStyle w:val="Ttulo2"/>
        <w:ind w:left="357" w:hanging="357"/>
        <w:jc w:val="both"/>
        <w:rPr>
          <w:rFonts w:ascii="Calibri" w:eastAsia="Calibri" w:hAnsi="Calibri" w:cs="Calibri"/>
          <w:lang w:val="es"/>
        </w:rPr>
      </w:pPr>
      <w:bookmarkStart w:id="30" w:name="_Toc1448724199"/>
      <w:r w:rsidRPr="6F1EDA97">
        <w:rPr>
          <w:rFonts w:ascii="Calibri" w:eastAsia="Calibri" w:hAnsi="Calibri" w:cs="Calibri"/>
          <w:lang w:val="es"/>
        </w:rPr>
        <w:t xml:space="preserve">10.8 </w:t>
      </w:r>
      <w:r w:rsidR="4A6F696A" w:rsidRPr="6F1EDA97">
        <w:rPr>
          <w:rFonts w:ascii="Calibri" w:eastAsia="Calibri" w:hAnsi="Calibri" w:cs="Calibri"/>
          <w:lang w:val="es"/>
        </w:rPr>
        <w:t>Pruebas requeridas</w:t>
      </w:r>
      <w:bookmarkEnd w:id="30"/>
    </w:p>
    <w:p w14:paraId="59C1AD29" w14:textId="4BAE641C"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1C15854" w14:textId="6BFF1F2B" w:rsidR="4A6F696A" w:rsidRDefault="4A6F696A" w:rsidP="62C29527">
      <w:pPr>
        <w:tabs>
          <w:tab w:val="left" w:pos="838"/>
        </w:tabs>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El CONTRATISTA deberá realizar cada 3 meses por el periodo de </w:t>
      </w:r>
      <w:r w:rsidR="2D070AFE" w:rsidRPr="62C29527">
        <w:rPr>
          <w:rFonts w:ascii="Calibri" w:eastAsia="Calibri" w:hAnsi="Calibri" w:cs="Calibri"/>
          <w:sz w:val="20"/>
          <w:szCs w:val="20"/>
          <w:lang w:val="es"/>
        </w:rPr>
        <w:t>mantenimiento</w:t>
      </w:r>
      <w:r w:rsidRPr="62C29527">
        <w:rPr>
          <w:rFonts w:ascii="Calibri" w:eastAsia="Calibri" w:hAnsi="Calibri" w:cs="Calibri"/>
          <w:sz w:val="20"/>
          <w:szCs w:val="20"/>
          <w:lang w:val="es"/>
        </w:rPr>
        <w:t xml:space="preserve"> las pruebas y/o verificaciones de funcionamiento para cada uno de los siguientes equipos:</w:t>
      </w:r>
    </w:p>
    <w:p w14:paraId="22888464" w14:textId="3F9CEC40" w:rsidR="4A6F696A" w:rsidRDefault="4A6F696A" w:rsidP="62C29527">
      <w:pPr>
        <w:tabs>
          <w:tab w:val="left" w:pos="838"/>
        </w:tabs>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113CE10" w14:textId="49D37228" w:rsidR="4A6F696A" w:rsidRDefault="4A6F696A" w:rsidP="003408E6">
      <w:pPr>
        <w:pStyle w:val="Prrafodelista"/>
        <w:numPr>
          <w:ilvl w:val="0"/>
          <w:numId w:val="4"/>
        </w:numPr>
        <w:jc w:val="both"/>
        <w:rPr>
          <w:rFonts w:ascii="Calibri" w:eastAsia="Calibri" w:hAnsi="Calibri" w:cs="Calibri"/>
          <w:sz w:val="20"/>
          <w:szCs w:val="20"/>
          <w:lang w:val="es"/>
        </w:rPr>
      </w:pPr>
      <w:r w:rsidRPr="62C29527">
        <w:rPr>
          <w:rFonts w:ascii="Calibri" w:eastAsia="Calibri" w:hAnsi="Calibri" w:cs="Calibri"/>
          <w:b/>
          <w:bCs/>
          <w:sz w:val="20"/>
          <w:szCs w:val="20"/>
          <w:lang w:val="es"/>
        </w:rPr>
        <w:t>SSFV</w:t>
      </w:r>
      <w:r w:rsidRPr="62C29527">
        <w:rPr>
          <w:rFonts w:ascii="Calibri" w:eastAsia="Calibri" w:hAnsi="Calibri" w:cs="Calibri"/>
          <w:sz w:val="20"/>
          <w:szCs w:val="20"/>
          <w:lang w:val="es"/>
        </w:rPr>
        <w:t>: Se deberán realizar las pruebas y/o verificaciones exigidas en las normas IEC 62446-1, IEC 62446-2 y IEC 61724-1.</w:t>
      </w:r>
    </w:p>
    <w:p w14:paraId="07B75649" w14:textId="76C734A3" w:rsidR="4A6F696A" w:rsidRDefault="4A6F696A" w:rsidP="62C29527">
      <w:pPr>
        <w:tabs>
          <w:tab w:val="left" w:pos="838"/>
        </w:tabs>
        <w:ind w:left="720"/>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BAAE218" w14:textId="2BE26115" w:rsidR="4A6F696A" w:rsidRDefault="4A6F696A" w:rsidP="003408E6">
      <w:pPr>
        <w:pStyle w:val="Prrafodelista"/>
        <w:numPr>
          <w:ilvl w:val="0"/>
          <w:numId w:val="4"/>
        </w:numPr>
        <w:jc w:val="both"/>
        <w:rPr>
          <w:rFonts w:ascii="Calibri" w:eastAsia="Calibri" w:hAnsi="Calibri" w:cs="Calibri"/>
          <w:sz w:val="20"/>
          <w:szCs w:val="20"/>
          <w:lang w:val="es"/>
        </w:rPr>
      </w:pPr>
      <w:r w:rsidRPr="62C29527">
        <w:rPr>
          <w:rFonts w:ascii="Calibri" w:eastAsia="Calibri" w:hAnsi="Calibri" w:cs="Calibri"/>
          <w:b/>
          <w:bCs/>
          <w:sz w:val="20"/>
          <w:szCs w:val="20"/>
          <w:lang w:val="es"/>
        </w:rPr>
        <w:t xml:space="preserve">Inversores: </w:t>
      </w:r>
      <w:r w:rsidRPr="62C29527">
        <w:rPr>
          <w:rFonts w:ascii="Calibri" w:eastAsia="Calibri" w:hAnsi="Calibri" w:cs="Calibri"/>
          <w:sz w:val="20"/>
          <w:szCs w:val="20"/>
          <w:lang w:val="es"/>
        </w:rPr>
        <w:t>Se deberán realizar al menos las siguientes pruebas y/o verificaciones, de acuerdo con lo dispuesto en las normas IEC 62109-1, 62109-2 y 62116 o equivalentes:</w:t>
      </w:r>
    </w:p>
    <w:p w14:paraId="169B8D5C" w14:textId="64AE961E" w:rsidR="4A6F696A" w:rsidRDefault="4A6F696A" w:rsidP="62C29527">
      <w:pPr>
        <w:tabs>
          <w:tab w:val="left" w:pos="838"/>
        </w:tabs>
        <w:ind w:left="720"/>
        <w:jc w:val="both"/>
        <w:rPr>
          <w:rFonts w:ascii="Calibri" w:eastAsia="Calibri" w:hAnsi="Calibri" w:cs="Calibri"/>
          <w:b/>
          <w:bCs/>
          <w:sz w:val="20"/>
          <w:szCs w:val="20"/>
          <w:lang w:val="es"/>
        </w:rPr>
      </w:pPr>
      <w:r w:rsidRPr="62C29527">
        <w:rPr>
          <w:rFonts w:ascii="Calibri" w:eastAsia="Calibri" w:hAnsi="Calibri" w:cs="Calibri"/>
          <w:b/>
          <w:bCs/>
          <w:sz w:val="20"/>
          <w:szCs w:val="20"/>
          <w:lang w:val="es"/>
        </w:rPr>
        <w:t xml:space="preserve"> </w:t>
      </w:r>
    </w:p>
    <w:p w14:paraId="40762B4D" w14:textId="5B376ECE"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Verificación del estado general del equipo.</w:t>
      </w:r>
    </w:p>
    <w:p w14:paraId="723AF82E" w14:textId="509A90AE"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Prueba de arranque.</w:t>
      </w:r>
    </w:p>
    <w:p w14:paraId="59899645" w14:textId="56479A13"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Prueba de verificación de conversión DC/AC.</w:t>
      </w:r>
    </w:p>
    <w:p w14:paraId="4D4D5E80" w14:textId="7A88EFF5"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Pruebas de medición de eficiencia.</w:t>
      </w:r>
    </w:p>
    <w:p w14:paraId="497F9718" w14:textId="410E5E53"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Revisión de Actualización </w:t>
      </w:r>
    </w:p>
    <w:p w14:paraId="5530D8E2" w14:textId="6E7C6EB2" w:rsidR="4A6F696A" w:rsidRDefault="4A6F696A" w:rsidP="62C29527">
      <w:pPr>
        <w:tabs>
          <w:tab w:val="left" w:pos="838"/>
        </w:tabs>
        <w:ind w:left="1198"/>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9B23D37" w14:textId="267D5F34" w:rsidR="4A6F696A" w:rsidRDefault="4A6F696A" w:rsidP="003408E6">
      <w:pPr>
        <w:pStyle w:val="Prrafodelista"/>
        <w:numPr>
          <w:ilvl w:val="0"/>
          <w:numId w:val="4"/>
        </w:numPr>
        <w:jc w:val="both"/>
        <w:rPr>
          <w:rFonts w:ascii="Calibri" w:eastAsia="Calibri" w:hAnsi="Calibri" w:cs="Calibri"/>
          <w:sz w:val="20"/>
          <w:szCs w:val="20"/>
          <w:lang w:val="es"/>
        </w:rPr>
      </w:pPr>
      <w:r w:rsidRPr="62C29527">
        <w:rPr>
          <w:rFonts w:ascii="Calibri" w:eastAsia="Calibri" w:hAnsi="Calibri" w:cs="Calibri"/>
          <w:b/>
          <w:bCs/>
          <w:sz w:val="20"/>
          <w:szCs w:val="20"/>
          <w:lang w:val="es"/>
        </w:rPr>
        <w:t xml:space="preserve">Tableros de baja y media tensión: </w:t>
      </w:r>
      <w:r w:rsidRPr="62C29527">
        <w:rPr>
          <w:rFonts w:ascii="Calibri" w:eastAsia="Calibri" w:hAnsi="Calibri" w:cs="Calibri"/>
          <w:sz w:val="20"/>
          <w:szCs w:val="20"/>
          <w:lang w:val="es"/>
        </w:rPr>
        <w:t>Se deberán realizar al menos las siguientes pruebas y/o verificaciones, de acuerdo con lo dispuesto en las normas NEMA ICS 18, NEMA C37.50 y/o UL 845 o IEC 61439-1 o equivalente:</w:t>
      </w:r>
    </w:p>
    <w:p w14:paraId="30597CB9" w14:textId="27CD501A" w:rsidR="4A6F696A" w:rsidRDefault="4A6F696A" w:rsidP="62C29527">
      <w:pPr>
        <w:tabs>
          <w:tab w:val="left" w:pos="838"/>
        </w:tabs>
        <w:ind w:left="360"/>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756B677" w14:textId="2EAF6BBC"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Inventario de componentes según planos y listado de partes.</w:t>
      </w:r>
    </w:p>
    <w:p w14:paraId="387D4D87" w14:textId="1B8B13C6"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Verificación aleatoria de Conexión de Componentes según los planos.</w:t>
      </w:r>
    </w:p>
    <w:p w14:paraId="589AC6CC" w14:textId="0C2B1A03"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Pruebas funcionales de inserción y extracción de gavetas y enclavamientos mecánicos.</w:t>
      </w:r>
    </w:p>
    <w:p w14:paraId="68E10418" w14:textId="7BE30F22"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Verificación de enclavamientos mecánicos y eléctricos.</w:t>
      </w:r>
    </w:p>
    <w:p w14:paraId="4680008A" w14:textId="28F714BC"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Comprobación de la secuencia de fases en todas las salidas de fuerza.</w:t>
      </w:r>
    </w:p>
    <w:p w14:paraId="72F16326" w14:textId="3A53C014"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Comprobación de los circuitos de disparo relés y protecciones térmicas.</w:t>
      </w:r>
    </w:p>
    <w:p w14:paraId="266F8502" w14:textId="20739533"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Verificación de la operación de los instrumentos de medida.</w:t>
      </w:r>
    </w:p>
    <w:p w14:paraId="43CC2FF7" w14:textId="19313870"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Medición de resistencia de aislamiento para fase-fase y fase tierra.</w:t>
      </w:r>
    </w:p>
    <w:p w14:paraId="15B5863F" w14:textId="28985C25"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Pruebas de operación de los interruptores de Potencia.</w:t>
      </w:r>
    </w:p>
    <w:p w14:paraId="60B195B6" w14:textId="3371EB24"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Pruebas de Operación de la transferencia automática (cuando aplique).</w:t>
      </w:r>
    </w:p>
    <w:p w14:paraId="6E74FF9A" w14:textId="527BCCEE"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Prueba de los calentadores de ambiente y sus controles.</w:t>
      </w:r>
    </w:p>
    <w:p w14:paraId="035399F4" w14:textId="5485C5E8"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Pruebas de Señalización y Alarmas.</w:t>
      </w:r>
    </w:p>
    <w:p w14:paraId="3F7CC8EE" w14:textId="061204FC" w:rsidR="4A6F696A" w:rsidRDefault="4A6F696A" w:rsidP="003408E6">
      <w:pPr>
        <w:pStyle w:val="Prrafodelista"/>
        <w:numPr>
          <w:ilvl w:val="0"/>
          <w:numId w:val="3"/>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Pruebas aleatorias para verificar los valores de torque de la tornillería.</w:t>
      </w:r>
    </w:p>
    <w:p w14:paraId="077E4DBE" w14:textId="7C88BC06" w:rsidR="4A6F696A" w:rsidRDefault="4A6F696A" w:rsidP="62C29527">
      <w:pPr>
        <w:tabs>
          <w:tab w:val="left" w:pos="838"/>
        </w:tabs>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8B2750A" w14:textId="67EA0F42" w:rsidR="4A6F696A" w:rsidRDefault="4A6F696A" w:rsidP="003408E6">
      <w:pPr>
        <w:pStyle w:val="Prrafodelista"/>
        <w:numPr>
          <w:ilvl w:val="0"/>
          <w:numId w:val="4"/>
        </w:numPr>
        <w:jc w:val="both"/>
        <w:rPr>
          <w:rFonts w:ascii="Calibri" w:eastAsia="Calibri" w:hAnsi="Calibri" w:cs="Calibri"/>
          <w:sz w:val="20"/>
          <w:szCs w:val="20"/>
          <w:lang w:val="es"/>
        </w:rPr>
      </w:pPr>
      <w:r w:rsidRPr="62C29527">
        <w:rPr>
          <w:rFonts w:ascii="Calibri" w:eastAsia="Calibri" w:hAnsi="Calibri" w:cs="Calibri"/>
          <w:b/>
          <w:bCs/>
          <w:sz w:val="20"/>
          <w:szCs w:val="20"/>
          <w:lang w:val="es"/>
        </w:rPr>
        <w:t xml:space="preserve">Baterías: </w:t>
      </w:r>
      <w:r w:rsidRPr="62C29527">
        <w:rPr>
          <w:rFonts w:ascii="Calibri" w:eastAsia="Calibri" w:hAnsi="Calibri" w:cs="Calibri"/>
          <w:sz w:val="20"/>
          <w:szCs w:val="20"/>
          <w:lang w:val="es"/>
        </w:rPr>
        <w:t>Se deberán realizar al menos las siguientes pruebas y/o verificaciones, de acuerdo con lo dispuestos en las normas IEC 62133:</w:t>
      </w:r>
    </w:p>
    <w:p w14:paraId="2F7F61CA" w14:textId="72680625" w:rsidR="4A6F696A" w:rsidRDefault="4A6F696A" w:rsidP="62C29527">
      <w:pPr>
        <w:tabs>
          <w:tab w:val="left" w:pos="838"/>
        </w:tabs>
        <w:ind w:left="720"/>
        <w:jc w:val="both"/>
        <w:rPr>
          <w:rFonts w:ascii="Calibri" w:eastAsia="Calibri" w:hAnsi="Calibri" w:cs="Calibri"/>
          <w:b/>
          <w:bCs/>
          <w:sz w:val="20"/>
          <w:szCs w:val="20"/>
          <w:lang w:val="es"/>
        </w:rPr>
      </w:pPr>
      <w:r w:rsidRPr="62C29527">
        <w:rPr>
          <w:rFonts w:ascii="Calibri" w:eastAsia="Calibri" w:hAnsi="Calibri" w:cs="Calibri"/>
          <w:b/>
          <w:bCs/>
          <w:sz w:val="20"/>
          <w:szCs w:val="20"/>
          <w:lang w:val="es"/>
        </w:rPr>
        <w:t xml:space="preserve"> </w:t>
      </w:r>
    </w:p>
    <w:p w14:paraId="5D2F874A" w14:textId="73D2814D" w:rsidR="4A6F696A" w:rsidRDefault="4A6F696A" w:rsidP="003408E6">
      <w:pPr>
        <w:pStyle w:val="Prrafodelista"/>
        <w:numPr>
          <w:ilvl w:val="0"/>
          <w:numId w:val="2"/>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Verificación de conexiones.</w:t>
      </w:r>
    </w:p>
    <w:p w14:paraId="153A95ED" w14:textId="052E7D91" w:rsidR="4A6F696A" w:rsidRDefault="4A6F696A" w:rsidP="003408E6">
      <w:pPr>
        <w:pStyle w:val="Prrafodelista"/>
        <w:numPr>
          <w:ilvl w:val="0"/>
          <w:numId w:val="2"/>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Medición de tensión en DC para cada módulo.</w:t>
      </w:r>
    </w:p>
    <w:p w14:paraId="1B4F890A" w14:textId="609FC2FD" w:rsidR="4A6F696A" w:rsidRDefault="4A6F696A" w:rsidP="003408E6">
      <w:pPr>
        <w:pStyle w:val="Prrafodelista"/>
        <w:numPr>
          <w:ilvl w:val="0"/>
          <w:numId w:val="2"/>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Pruebas de carga y descarga para verificación de rendimiento.</w:t>
      </w:r>
    </w:p>
    <w:p w14:paraId="6E335006" w14:textId="076ECB94" w:rsidR="4A6F696A" w:rsidRDefault="4A6F696A" w:rsidP="003408E6">
      <w:pPr>
        <w:pStyle w:val="Prrafodelista"/>
        <w:numPr>
          <w:ilvl w:val="0"/>
          <w:numId w:val="2"/>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Pruebas termográficas.</w:t>
      </w:r>
    </w:p>
    <w:p w14:paraId="458715C2" w14:textId="75D7A18E" w:rsidR="4A6F696A" w:rsidRDefault="4A6F696A" w:rsidP="003408E6">
      <w:pPr>
        <w:pStyle w:val="Prrafodelista"/>
        <w:numPr>
          <w:ilvl w:val="0"/>
          <w:numId w:val="2"/>
        </w:numPr>
        <w:ind w:left="1198"/>
        <w:jc w:val="both"/>
        <w:rPr>
          <w:rFonts w:ascii="Calibri" w:eastAsia="Calibri" w:hAnsi="Calibri" w:cs="Calibri"/>
          <w:sz w:val="20"/>
          <w:szCs w:val="20"/>
          <w:lang w:val="es"/>
        </w:rPr>
      </w:pPr>
      <w:r w:rsidRPr="62C29527">
        <w:rPr>
          <w:rFonts w:ascii="Calibri" w:eastAsia="Calibri" w:hAnsi="Calibri" w:cs="Calibri"/>
          <w:sz w:val="20"/>
          <w:szCs w:val="20"/>
          <w:lang w:val="es"/>
        </w:rPr>
        <w:t>Pruebas de aislamiento / resistencia eléctrica.</w:t>
      </w:r>
    </w:p>
    <w:p w14:paraId="088D201F" w14:textId="06C2717E" w:rsidR="4A6F696A" w:rsidRDefault="4A6F696A" w:rsidP="62C29527">
      <w:pPr>
        <w:tabs>
          <w:tab w:val="left" w:pos="838"/>
        </w:tabs>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D332931" w14:textId="4227E212" w:rsidR="4A6F696A" w:rsidRDefault="4A6F696A" w:rsidP="62C29527">
      <w:pPr>
        <w:pStyle w:val="Ttulo1"/>
        <w:jc w:val="both"/>
        <w:rPr>
          <w:rFonts w:ascii="Calibri" w:eastAsia="Calibri" w:hAnsi="Calibri" w:cs="Calibri"/>
          <w:lang w:val="es"/>
        </w:rPr>
      </w:pPr>
      <w:bookmarkStart w:id="31" w:name="_Toc1658741927"/>
      <w:bookmarkStart w:id="32" w:name="_Toc894186619"/>
      <w:r w:rsidRPr="6F1EDA97">
        <w:rPr>
          <w:rFonts w:ascii="Calibri" w:eastAsia="Calibri" w:hAnsi="Calibri" w:cs="Calibri"/>
          <w:lang w:val="es"/>
        </w:rPr>
        <w:t>RECONOCIMIENTO ÍTEMS NO PREVISTOS U OBRAS COMPLEMENTARIAS</w:t>
      </w:r>
      <w:bookmarkEnd w:id="31"/>
      <w:bookmarkEnd w:id="32"/>
    </w:p>
    <w:p w14:paraId="3CB4555C" w14:textId="09A28211" w:rsidR="4A6F696A" w:rsidRDefault="4A6F696A" w:rsidP="62C29527">
      <w:pPr>
        <w:jc w:val="both"/>
        <w:rPr>
          <w:rFonts w:ascii="Calibri" w:eastAsia="Calibri" w:hAnsi="Calibri" w:cs="Calibri"/>
          <w:b/>
          <w:bCs/>
          <w:i/>
          <w:iCs/>
          <w:sz w:val="20"/>
          <w:szCs w:val="20"/>
          <w:lang w:val="es"/>
        </w:rPr>
      </w:pPr>
      <w:r w:rsidRPr="62C29527">
        <w:rPr>
          <w:rFonts w:ascii="Calibri" w:eastAsia="Calibri" w:hAnsi="Calibri" w:cs="Calibri"/>
          <w:b/>
          <w:bCs/>
          <w:i/>
          <w:iCs/>
          <w:sz w:val="20"/>
          <w:szCs w:val="20"/>
          <w:lang w:val="es"/>
        </w:rPr>
        <w:t xml:space="preserve"> </w:t>
      </w:r>
    </w:p>
    <w:p w14:paraId="1742B0B2" w14:textId="7765CB29"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En el evento que, durante el desarrollo del contrato, se detecte la necesidad de ejecutar ítems no previstos en los formularios de cantidades y precios u obras complementarias, se procederá de acuerdo con lo establecido a continuación:</w:t>
      </w:r>
    </w:p>
    <w:p w14:paraId="6994F868" w14:textId="4E4735A2"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4F1F5AF5" w14:textId="274E0C78" w:rsidR="4A6F696A" w:rsidRDefault="4A6F696A" w:rsidP="62C29527">
      <w:pPr>
        <w:pStyle w:val="Prrafodelista"/>
        <w:numPr>
          <w:ilvl w:val="0"/>
          <w:numId w:val="1"/>
        </w:numPr>
        <w:ind w:left="360"/>
        <w:jc w:val="both"/>
        <w:rPr>
          <w:rFonts w:ascii="Calibri" w:eastAsia="Calibri" w:hAnsi="Calibri" w:cs="Calibri"/>
          <w:sz w:val="20"/>
          <w:szCs w:val="20"/>
        </w:rPr>
      </w:pPr>
      <w:r w:rsidRPr="62C29527">
        <w:rPr>
          <w:rFonts w:ascii="Calibri" w:eastAsia="Calibri" w:hAnsi="Calibri" w:cs="Calibri"/>
          <w:sz w:val="20"/>
          <w:szCs w:val="20"/>
        </w:rPr>
        <w:t>La supervisión y/o interventoría, previa solicitud del contratista, debe presentar a FENOGE un informe oportuno, detallado y debidamente motivado que sustente la ejecución de los ítems no previstos u obras complementarias, el cual permitirá a FENOGE determinar si tales solicitudes son procedentes o no. El informe en mención debe contener una descripción de las especificaciones técnicas que regirán la ejecución de dichos ítems u obras, la descripción de la medida y pago, una relación de los mismos con sus respectivas cantidades de obra (en el evento de obras complementarias, éstas deberán ser desagregadas a través de ítems).</w:t>
      </w:r>
    </w:p>
    <w:p w14:paraId="267FDB1D" w14:textId="6077389B" w:rsidR="4A6F696A" w:rsidRDefault="4A6F696A" w:rsidP="62C29527">
      <w:pPr>
        <w:tabs>
          <w:tab w:val="left" w:pos="905"/>
        </w:tabs>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6508BCEF" w14:textId="49680543" w:rsidR="4A6F696A" w:rsidRDefault="4A6F696A" w:rsidP="62C29527">
      <w:pPr>
        <w:pStyle w:val="Prrafodelista"/>
        <w:numPr>
          <w:ilvl w:val="0"/>
          <w:numId w:val="1"/>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El contratista deberá entregar 3 cotizaciones a la supervisión y/o interventoría.</w:t>
      </w:r>
    </w:p>
    <w:p w14:paraId="1EBCB23A" w14:textId="7BE0DB2F" w:rsidR="4A6F696A" w:rsidRDefault="4A6F696A" w:rsidP="62C29527">
      <w:pPr>
        <w:tabs>
          <w:tab w:val="left" w:pos="905"/>
        </w:tabs>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6F12EA5" w14:textId="17AE8DE7" w:rsidR="4A6F696A" w:rsidRDefault="4A6F696A" w:rsidP="62C29527">
      <w:pPr>
        <w:pStyle w:val="Prrafodelista"/>
        <w:numPr>
          <w:ilvl w:val="0"/>
          <w:numId w:val="1"/>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La supervisión y/o interventoría deberá analizar y verificar la información y justificar cuál es la mejor cotización de los ítems no previstos, para revisión y aprobación del director(a) ejecutivo de FENOGE.</w:t>
      </w:r>
    </w:p>
    <w:p w14:paraId="4B419C19" w14:textId="0F8D34EB" w:rsidR="4A6F696A" w:rsidRDefault="4A6F696A" w:rsidP="62C29527">
      <w:pPr>
        <w:tabs>
          <w:tab w:val="left" w:pos="905"/>
        </w:tabs>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92BBC95" w14:textId="4B98BDB8" w:rsidR="4A6F696A" w:rsidRDefault="4A6F696A" w:rsidP="62C29527">
      <w:pPr>
        <w:pStyle w:val="Prrafodelista"/>
        <w:numPr>
          <w:ilvl w:val="0"/>
          <w:numId w:val="1"/>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La supervisión y/o interventoría deberá entregar el formato de análisis de precios unitarios debidamente firmado y con los soportes.</w:t>
      </w:r>
    </w:p>
    <w:p w14:paraId="7724FC36" w14:textId="20B548EB" w:rsidR="4A6F696A" w:rsidRDefault="4A6F696A" w:rsidP="62C29527">
      <w:pPr>
        <w:tabs>
          <w:tab w:val="left" w:pos="905"/>
        </w:tabs>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FEBA01D" w14:textId="17EACB9A" w:rsidR="4A6F696A" w:rsidRDefault="4A6F696A" w:rsidP="62C29527">
      <w:pPr>
        <w:pStyle w:val="Prrafodelista"/>
        <w:numPr>
          <w:ilvl w:val="0"/>
          <w:numId w:val="1"/>
        </w:numPr>
        <w:ind w:left="360"/>
        <w:jc w:val="both"/>
        <w:rPr>
          <w:rFonts w:ascii="Calibri" w:eastAsia="Calibri" w:hAnsi="Calibri" w:cs="Calibri"/>
          <w:sz w:val="20"/>
          <w:szCs w:val="20"/>
        </w:rPr>
      </w:pPr>
      <w:r w:rsidRPr="62C29527">
        <w:rPr>
          <w:rFonts w:ascii="Calibri" w:eastAsia="Calibri" w:hAnsi="Calibri" w:cs="Calibri"/>
          <w:sz w:val="20"/>
          <w:szCs w:val="20"/>
        </w:rPr>
        <w:t>Una vez sea aprobado el valor de los ítems no previstos (APUs), se proyectará el acta de incorporación de nuevos APUs, la cual deberá estar debidamente suscrita por el contratista, supervisión y/o interventoría, y el director ejecutivo.</w:t>
      </w:r>
    </w:p>
    <w:p w14:paraId="56F39102" w14:textId="5EB927FC" w:rsidR="4A6F696A" w:rsidRDefault="4A6F696A" w:rsidP="62C29527">
      <w:pPr>
        <w:tabs>
          <w:tab w:val="left" w:pos="905"/>
        </w:tabs>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5C195617" w14:textId="6B91359B" w:rsidR="4A6F696A" w:rsidRDefault="4A6F696A" w:rsidP="62C29527">
      <w:pPr>
        <w:pStyle w:val="Prrafodelista"/>
        <w:numPr>
          <w:ilvl w:val="0"/>
          <w:numId w:val="1"/>
        </w:numPr>
        <w:ind w:left="360"/>
        <w:jc w:val="both"/>
        <w:rPr>
          <w:rFonts w:ascii="Calibri" w:eastAsia="Calibri" w:hAnsi="Calibri" w:cs="Calibri"/>
          <w:sz w:val="20"/>
          <w:szCs w:val="20"/>
        </w:rPr>
      </w:pPr>
      <w:r w:rsidRPr="62C29527">
        <w:rPr>
          <w:rFonts w:ascii="Calibri" w:eastAsia="Calibri" w:hAnsi="Calibri" w:cs="Calibri"/>
          <w:sz w:val="20"/>
          <w:szCs w:val="20"/>
        </w:rPr>
        <w:t>Posteriormente, el FENOGE adelantará la formalización de la incorporación de estos nuevos APUs mediante modificación contractual con el fin de incluir el(los) ítem(s) y adicionar el valor respectivo, procedimiento que se adelantará previo a la ejecución de actividades y/o elementos no previstos.</w:t>
      </w:r>
    </w:p>
    <w:p w14:paraId="37FE9BF1" w14:textId="5CCE9B80" w:rsidR="4A6F696A" w:rsidRDefault="4A6F696A" w:rsidP="62C29527">
      <w:pPr>
        <w:tabs>
          <w:tab w:val="left" w:pos="905"/>
        </w:tabs>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2EA791F1" w14:textId="437F043D" w:rsidR="4A6F696A" w:rsidRDefault="4A6F696A" w:rsidP="62C29527">
      <w:pPr>
        <w:pStyle w:val="Prrafodelista"/>
        <w:numPr>
          <w:ilvl w:val="0"/>
          <w:numId w:val="1"/>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Si FENOGE determina llevar a cabo la ejecución de los ítems no previstos u obras complementarias y si el monto calculado del valor de los trabajos no supera el valor del CONTRATO, se procederá a la aprobación de los ítems no previstos y a la suscripción del acta de fijación de ítems no previstos o el procedimiento que defina la supervisión y/o interventoría, para lo cual se atenderán todas las condiciones establecidas en el presente documento y normas y conceptos aplicables para tal fin.</w:t>
      </w:r>
    </w:p>
    <w:p w14:paraId="56ED0310" w14:textId="7A61CEC6" w:rsidR="4A6F696A" w:rsidRDefault="4A6F696A" w:rsidP="62C29527">
      <w:pPr>
        <w:tabs>
          <w:tab w:val="left" w:pos="912"/>
        </w:tabs>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67A5918F" w14:textId="2CB43876" w:rsidR="4A6F696A" w:rsidRDefault="4A6F696A" w:rsidP="62C29527">
      <w:pPr>
        <w:pStyle w:val="Prrafodelista"/>
        <w:numPr>
          <w:ilvl w:val="0"/>
          <w:numId w:val="1"/>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En caso, donde el valor de los trabajos surgidos por la inclusión de ítems no previstos supere el valor del contrato y sea aceptado por FENOGE, se procederá con la suscripción de la respectiva modificación para adicionar el contrato; para lo cual se atenderán todas las condiciones establecidas en el presente documento y en el Manual de Contratación de FENOGE para tal fin.</w:t>
      </w:r>
    </w:p>
    <w:p w14:paraId="7124DB94" w14:textId="75206EBC" w:rsidR="4A6F696A" w:rsidRDefault="4A6F696A" w:rsidP="62C29527">
      <w:pPr>
        <w:tabs>
          <w:tab w:val="left" w:pos="894"/>
        </w:tabs>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7C6D4486" w14:textId="25C3612C" w:rsidR="4A6F696A" w:rsidRDefault="4A6F696A" w:rsidP="62C29527">
      <w:pPr>
        <w:pStyle w:val="Prrafodelista"/>
        <w:numPr>
          <w:ilvl w:val="0"/>
          <w:numId w:val="1"/>
        </w:numPr>
        <w:ind w:left="360"/>
        <w:jc w:val="both"/>
        <w:rPr>
          <w:rFonts w:ascii="Calibri" w:eastAsia="Calibri" w:hAnsi="Calibri" w:cs="Calibri"/>
          <w:sz w:val="20"/>
          <w:szCs w:val="20"/>
          <w:lang w:val="es"/>
        </w:rPr>
      </w:pPr>
      <w:r w:rsidRPr="62C29527">
        <w:rPr>
          <w:rFonts w:ascii="Calibri" w:eastAsia="Calibri" w:hAnsi="Calibri" w:cs="Calibri"/>
          <w:sz w:val="20"/>
          <w:szCs w:val="20"/>
          <w:lang w:val="es"/>
        </w:rPr>
        <w:t>La forma de pago de los ítems no previstos u obras complementarias se regirá tal y como se estableció en el proceso de selección que originó el presente contrato.</w:t>
      </w:r>
    </w:p>
    <w:p w14:paraId="6782C391" w14:textId="63FCF6F3"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33FBB675" w14:textId="4A5E0646" w:rsidR="4A6F696A" w:rsidRDefault="4A6F696A" w:rsidP="62C29527">
      <w:pPr>
        <w:jc w:val="both"/>
        <w:rPr>
          <w:rFonts w:ascii="Calibri" w:eastAsia="Calibri" w:hAnsi="Calibri" w:cs="Calibri"/>
          <w:sz w:val="20"/>
          <w:szCs w:val="20"/>
          <w:lang w:val="es"/>
        </w:rPr>
      </w:pPr>
      <w:r w:rsidRPr="62C29527">
        <w:rPr>
          <w:rFonts w:ascii="Calibri" w:eastAsia="Calibri" w:hAnsi="Calibri" w:cs="Calibri"/>
          <w:b/>
          <w:bCs/>
          <w:sz w:val="20"/>
          <w:szCs w:val="20"/>
          <w:lang w:val="es"/>
        </w:rPr>
        <w:t>Nota 1:</w:t>
      </w:r>
      <w:r w:rsidRPr="62C29527">
        <w:rPr>
          <w:rFonts w:ascii="Calibri" w:eastAsia="Calibri" w:hAnsi="Calibri" w:cs="Calibri"/>
          <w:sz w:val="20"/>
          <w:szCs w:val="20"/>
          <w:lang w:val="es"/>
        </w:rPr>
        <w:t xml:space="preserve"> FENOGE no reconocerá suma alguna al contratista, si ha llevado a cabo la construcción de ítems no previstos u obras complementarias sin cumplir con las condiciones aquí establecidas.</w:t>
      </w:r>
    </w:p>
    <w:p w14:paraId="034BBF08" w14:textId="1499BE5C" w:rsidR="4A6F696A" w:rsidRDefault="4A6F696A" w:rsidP="62C29527">
      <w:pPr>
        <w:jc w:val="both"/>
        <w:rPr>
          <w:rFonts w:ascii="Calibri" w:eastAsia="Calibri" w:hAnsi="Calibri" w:cs="Calibri"/>
          <w:sz w:val="20"/>
          <w:szCs w:val="20"/>
          <w:lang w:val="es"/>
        </w:rPr>
      </w:pPr>
      <w:r w:rsidRPr="62C29527">
        <w:rPr>
          <w:rFonts w:ascii="Calibri" w:eastAsia="Calibri" w:hAnsi="Calibri" w:cs="Calibri"/>
          <w:sz w:val="20"/>
          <w:szCs w:val="20"/>
          <w:lang w:val="es"/>
        </w:rPr>
        <w:t xml:space="preserve"> </w:t>
      </w:r>
    </w:p>
    <w:p w14:paraId="0D23A24F" w14:textId="36866030" w:rsidR="4A6F696A" w:rsidRDefault="4A6F696A" w:rsidP="62C29527">
      <w:pPr>
        <w:jc w:val="both"/>
        <w:rPr>
          <w:rFonts w:ascii="Calibri" w:eastAsia="Calibri" w:hAnsi="Calibri" w:cs="Calibri"/>
          <w:sz w:val="20"/>
          <w:szCs w:val="20"/>
          <w:lang w:val="es"/>
        </w:rPr>
      </w:pPr>
      <w:r w:rsidRPr="6F1EDA97">
        <w:rPr>
          <w:rFonts w:ascii="Calibri" w:eastAsia="Calibri" w:hAnsi="Calibri" w:cs="Calibri"/>
          <w:b/>
          <w:bCs/>
          <w:sz w:val="20"/>
          <w:szCs w:val="20"/>
          <w:lang w:val="es"/>
        </w:rPr>
        <w:t>Nota 2:</w:t>
      </w:r>
      <w:r w:rsidRPr="6F1EDA97">
        <w:rPr>
          <w:rFonts w:ascii="Calibri" w:eastAsia="Calibri" w:hAnsi="Calibri" w:cs="Calibri"/>
          <w:sz w:val="20"/>
          <w:szCs w:val="20"/>
          <w:lang w:val="es"/>
        </w:rPr>
        <w:t xml:space="preserve"> En dado caso, la supervisión y/o interventoría no tendrá facultad para ordenar la ejecución de tales obras, sin contar con la aprobación previa de FENOGE.</w:t>
      </w:r>
    </w:p>
    <w:p w14:paraId="29ED7637" w14:textId="0D9E83F0" w:rsidR="62C29527" w:rsidRDefault="62C29527" w:rsidP="62C29527">
      <w:pPr>
        <w:tabs>
          <w:tab w:val="left" w:pos="838"/>
        </w:tabs>
        <w:jc w:val="both"/>
        <w:rPr>
          <w:rFonts w:ascii="Calibri" w:eastAsia="Calibri" w:hAnsi="Calibri" w:cs="Calibri"/>
          <w:b/>
          <w:bCs/>
          <w:sz w:val="20"/>
          <w:szCs w:val="20"/>
          <w:lang w:val="es"/>
        </w:rPr>
      </w:pPr>
    </w:p>
    <w:p w14:paraId="44958002" w14:textId="4A7950BE" w:rsidR="62C29527" w:rsidRDefault="62C29527" w:rsidP="62C29527">
      <w:pPr>
        <w:tabs>
          <w:tab w:val="left" w:pos="838"/>
        </w:tabs>
        <w:jc w:val="both"/>
        <w:rPr>
          <w:rFonts w:asciiTheme="minorHAnsi" w:eastAsiaTheme="minorEastAsia" w:hAnsiTheme="minorHAnsi" w:cstheme="minorBidi"/>
          <w:b/>
          <w:bCs/>
          <w:sz w:val="20"/>
          <w:szCs w:val="20"/>
        </w:rPr>
      </w:pPr>
    </w:p>
    <w:sectPr w:rsidR="62C29527" w:rsidSect="00703512">
      <w:headerReference w:type="default" r:id="rId129"/>
      <w:footerReference w:type="default" r:id="rId130"/>
      <w:pgSz w:w="12250" w:h="15850"/>
      <w:pgMar w:top="1940" w:right="1193" w:bottom="780" w:left="1300" w:header="720" w:footer="71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D2325E" w14:textId="77777777" w:rsidR="0091384D" w:rsidRDefault="0091384D">
      <w:r>
        <w:separator/>
      </w:r>
    </w:p>
  </w:endnote>
  <w:endnote w:type="continuationSeparator" w:id="0">
    <w:p w14:paraId="78941A26" w14:textId="77777777" w:rsidR="0091384D" w:rsidRDefault="0091384D">
      <w:r>
        <w:continuationSeparator/>
      </w:r>
    </w:p>
  </w:endnote>
  <w:endnote w:type="continuationNotice" w:id="1">
    <w:p w14:paraId="2062369D" w14:textId="77777777" w:rsidR="0091384D" w:rsidRDefault="0091384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alibri Light&quot;,sans-serif">
    <w:altName w:val="Cambria"/>
    <w:panose1 w:val="00000000000000000000"/>
    <w:charset w:val="00"/>
    <w:family w:val="roman"/>
    <w:notTrueType/>
    <w:pitch w:val="default"/>
  </w:font>
  <w:font w:name="&quot;Aptos&quot;,sans-serif">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0"/>
    <w:family w:val="swiss"/>
    <w:pitch w:val="variable"/>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Helvetica Neue">
    <w:altName w:val="Sylfaen"/>
    <w:charset w:val="00"/>
    <w:family w:val="auto"/>
    <w:pitch w:val="variable"/>
    <w:sig w:usb0="E50002FF" w:usb1="500079DB" w:usb2="00000010" w:usb3="00000000" w:csb0="00000001" w:csb1="00000000"/>
  </w:font>
  <w:font w:name="Nunito">
    <w:charset w:val="00"/>
    <w:family w:val="auto"/>
    <w:pitch w:val="variable"/>
    <w:sig w:usb0="A00002FF" w:usb1="5000204B" w:usb2="00000000" w:usb3="00000000" w:csb0="00000197"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170" w:type="dxa"/>
      <w:tblLayout w:type="fixed"/>
      <w:tblCellMar>
        <w:left w:w="10" w:type="dxa"/>
        <w:right w:w="10" w:type="dxa"/>
      </w:tblCellMar>
      <w:tblLook w:val="04A0" w:firstRow="1" w:lastRow="0" w:firstColumn="1" w:lastColumn="0" w:noHBand="0" w:noVBand="1"/>
    </w:tblPr>
    <w:tblGrid>
      <w:gridCol w:w="3390"/>
      <w:gridCol w:w="3390"/>
      <w:gridCol w:w="3390"/>
    </w:tblGrid>
    <w:tr w:rsidR="0009519A" w:rsidRPr="007364F8" w14:paraId="560D7E53" w14:textId="77777777">
      <w:trPr>
        <w:trHeight w:val="300"/>
      </w:trPr>
      <w:tc>
        <w:tcPr>
          <w:tcW w:w="3390" w:type="dxa"/>
          <w:tcMar>
            <w:top w:w="0" w:type="dxa"/>
            <w:left w:w="108" w:type="dxa"/>
            <w:bottom w:w="0" w:type="dxa"/>
            <w:right w:w="108" w:type="dxa"/>
          </w:tcMar>
        </w:tcPr>
        <w:p w14:paraId="659FC865" w14:textId="77777777" w:rsidR="0009519A" w:rsidRPr="007364F8" w:rsidRDefault="0009519A">
          <w:pPr>
            <w:pStyle w:val="Encabezado"/>
            <w:ind w:left="-115"/>
            <w:rPr>
              <w:rFonts w:asciiTheme="minorHAnsi" w:hAnsiTheme="minorHAnsi" w:cstheme="minorHAnsi"/>
              <w:sz w:val="16"/>
              <w:szCs w:val="16"/>
            </w:rPr>
          </w:pPr>
        </w:p>
      </w:tc>
      <w:tc>
        <w:tcPr>
          <w:tcW w:w="3390" w:type="dxa"/>
          <w:tcMar>
            <w:top w:w="0" w:type="dxa"/>
            <w:left w:w="108" w:type="dxa"/>
            <w:bottom w:w="0" w:type="dxa"/>
            <w:right w:w="108" w:type="dxa"/>
          </w:tcMar>
        </w:tcPr>
        <w:p w14:paraId="3DD7C0DB" w14:textId="77777777" w:rsidR="0009519A" w:rsidRPr="007364F8" w:rsidRDefault="0009519A">
          <w:pPr>
            <w:pStyle w:val="Encabezado"/>
            <w:jc w:val="center"/>
            <w:rPr>
              <w:rFonts w:asciiTheme="minorHAnsi" w:hAnsiTheme="minorHAnsi" w:cstheme="minorHAnsi"/>
              <w:sz w:val="16"/>
              <w:szCs w:val="16"/>
            </w:rPr>
          </w:pPr>
        </w:p>
      </w:tc>
      <w:tc>
        <w:tcPr>
          <w:tcW w:w="3390" w:type="dxa"/>
          <w:tcMar>
            <w:top w:w="0" w:type="dxa"/>
            <w:left w:w="108" w:type="dxa"/>
            <w:bottom w:w="0" w:type="dxa"/>
            <w:right w:w="108" w:type="dxa"/>
          </w:tcMar>
        </w:tcPr>
        <w:p w14:paraId="190E5632" w14:textId="77777777" w:rsidR="0009519A" w:rsidRPr="007364F8" w:rsidRDefault="0009519A">
          <w:pPr>
            <w:pStyle w:val="Encabezado"/>
            <w:ind w:right="-115"/>
            <w:jc w:val="right"/>
            <w:rPr>
              <w:rFonts w:asciiTheme="minorHAnsi" w:hAnsiTheme="minorHAnsi" w:cstheme="minorHAnsi"/>
              <w:sz w:val="16"/>
              <w:szCs w:val="16"/>
            </w:rPr>
          </w:pPr>
        </w:p>
      </w:tc>
    </w:tr>
  </w:tbl>
  <w:p w14:paraId="5D5491F2" w14:textId="77777777" w:rsidR="0009519A" w:rsidRPr="0016035B" w:rsidRDefault="0009519A" w:rsidP="002662C1">
    <w:pPr>
      <w:pStyle w:val="Sinespaciado"/>
      <w:rPr>
        <w:rFonts w:asciiTheme="minorHAnsi" w:hAnsiTheme="minorHAnsi" w:cstheme="minorHAnsi"/>
        <w:sz w:val="16"/>
        <w:szCs w:val="16"/>
      </w:rPr>
    </w:pPr>
    <w:r w:rsidRPr="0016035B">
      <w:rPr>
        <w:rFonts w:asciiTheme="minorHAnsi" w:eastAsia="Helvetica Neue" w:hAnsiTheme="minorHAnsi" w:cstheme="minorHAnsi"/>
        <w:sz w:val="16"/>
        <w:szCs w:val="16"/>
      </w:rPr>
      <w:t>Dirección: Carrera 12 No. 84 A - 12, Of. 601 Bogotá D.C., Colombia</w:t>
    </w:r>
  </w:p>
  <w:p w14:paraId="106FDF70" w14:textId="77777777" w:rsidR="0009519A" w:rsidRPr="0016035B" w:rsidRDefault="0009519A" w:rsidP="002662C1">
    <w:pPr>
      <w:pStyle w:val="Sinespaciado"/>
      <w:rPr>
        <w:rFonts w:asciiTheme="minorHAnsi" w:hAnsiTheme="minorHAnsi" w:cstheme="minorHAnsi"/>
        <w:sz w:val="16"/>
        <w:szCs w:val="16"/>
      </w:rPr>
    </w:pPr>
    <w:r w:rsidRPr="0016035B">
      <w:rPr>
        <w:rFonts w:asciiTheme="minorHAnsi" w:eastAsia="Helvetica Neue" w:hAnsiTheme="minorHAnsi" w:cstheme="minorHAnsi"/>
        <w:sz w:val="16"/>
        <w:szCs w:val="16"/>
      </w:rPr>
      <w:t>Línea Gratuita: (601) 492 72 32</w:t>
    </w:r>
  </w:p>
  <w:p w14:paraId="5EB41EE7" w14:textId="50174788" w:rsidR="0009519A" w:rsidRPr="002662C1" w:rsidRDefault="00E66AB0" w:rsidP="002662C1">
    <w:pPr>
      <w:pStyle w:val="Sinespaciado"/>
      <w:rPr>
        <w:rFonts w:asciiTheme="minorHAnsi" w:hAnsiTheme="minorHAnsi" w:cstheme="minorHAnsi"/>
        <w:sz w:val="16"/>
        <w:szCs w:val="16"/>
      </w:rPr>
    </w:pPr>
    <w:hyperlink r:id="rId1" w:history="1">
      <w:r w:rsidR="0009519A" w:rsidRPr="0016035B">
        <w:rPr>
          <w:rStyle w:val="Hipervnculo"/>
          <w:rFonts w:asciiTheme="minorHAnsi" w:eastAsia="Helvetica Neue" w:hAnsiTheme="minorHAnsi" w:cstheme="minorHAnsi"/>
          <w:sz w:val="16"/>
          <w:szCs w:val="16"/>
        </w:rPr>
        <w:t>www.fenoge.gov.co</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3D0E1" w14:textId="63951D66" w:rsidR="007B0E44" w:rsidRPr="007364F8" w:rsidRDefault="00703512" w:rsidP="007B0E44">
    <w:pPr>
      <w:pStyle w:val="Sinespaciado"/>
      <w:rPr>
        <w:rFonts w:asciiTheme="minorHAnsi" w:hAnsiTheme="minorHAnsi" w:cstheme="minorHAnsi"/>
        <w:sz w:val="16"/>
        <w:szCs w:val="16"/>
      </w:rPr>
    </w:pPr>
    <w:r>
      <w:rPr>
        <w:rFonts w:ascii="Nunito" w:hAnsi="Nunito"/>
        <w:noProof/>
        <w:sz w:val="16"/>
        <w:szCs w:val="16"/>
        <w:lang w:eastAsia="es-CO"/>
      </w:rPr>
      <mc:AlternateContent>
        <mc:Choice Requires="wps">
          <w:drawing>
            <wp:anchor distT="0" distB="0" distL="114300" distR="114300" simplePos="0" relativeHeight="251658240" behindDoc="1" locked="0" layoutInCell="1" allowOverlap="1" wp14:anchorId="212B4F7A" wp14:editId="60BE16B6">
              <wp:simplePos x="0" y="0"/>
              <wp:positionH relativeFrom="margin">
                <wp:align>right</wp:align>
              </wp:positionH>
              <wp:positionV relativeFrom="page">
                <wp:posOffset>9244330</wp:posOffset>
              </wp:positionV>
              <wp:extent cx="879475" cy="161925"/>
              <wp:effectExtent l="0" t="0" r="15875" b="9525"/>
              <wp:wrapNone/>
              <wp:docPr id="1447028915" name="Textbox 3"/>
              <wp:cNvGraphicFramePr/>
              <a:graphic xmlns:a="http://schemas.openxmlformats.org/drawingml/2006/main">
                <a:graphicData uri="http://schemas.microsoft.com/office/word/2010/wordprocessingShape">
                  <wps:wsp>
                    <wps:cNvSpPr txBox="1"/>
                    <wps:spPr>
                      <a:xfrm>
                        <a:off x="0" y="0"/>
                        <a:ext cx="879475" cy="161925"/>
                      </a:xfrm>
                      <a:prstGeom prst="rect">
                        <a:avLst/>
                      </a:prstGeom>
                      <a:noFill/>
                      <a:ln>
                        <a:noFill/>
                        <a:prstDash/>
                      </a:ln>
                    </wps:spPr>
                    <wps:txbx>
                      <w:txbxContent>
                        <w:p w14:paraId="07F0AC85" w14:textId="5215F060" w:rsidR="0009519A" w:rsidRPr="00855A66" w:rsidRDefault="007B0E44" w:rsidP="00703512">
                          <w:pPr>
                            <w:spacing w:before="32"/>
                            <w:ind w:left="20"/>
                            <w:jc w:val="right"/>
                            <w:rPr>
                              <w:rFonts w:asciiTheme="minorHAnsi" w:hAnsiTheme="minorHAnsi" w:cstheme="minorHAnsi"/>
                            </w:rPr>
                          </w:pPr>
                          <w:r w:rsidRPr="00855A66">
                            <w:rPr>
                              <w:rFonts w:asciiTheme="minorHAnsi" w:hAnsiTheme="minorHAnsi" w:cstheme="minorHAnsi"/>
                              <w:sz w:val="16"/>
                              <w:szCs w:val="16"/>
                            </w:rPr>
                            <w:t>Página</w:t>
                          </w:r>
                          <w:r w:rsidR="0009519A" w:rsidRPr="00855A66">
                            <w:rPr>
                              <w:rFonts w:asciiTheme="minorHAnsi" w:hAnsiTheme="minorHAnsi" w:cstheme="minorHAnsi"/>
                              <w:spacing w:val="-3"/>
                              <w:sz w:val="16"/>
                              <w:szCs w:val="16"/>
                            </w:rPr>
                            <w:t xml:space="preserve"> </w:t>
                          </w:r>
                          <w:r w:rsidR="0009519A" w:rsidRPr="00855A66">
                            <w:rPr>
                              <w:rFonts w:asciiTheme="minorHAnsi" w:hAnsiTheme="minorHAnsi" w:cstheme="minorHAnsi"/>
                              <w:bCs/>
                              <w:sz w:val="16"/>
                              <w:szCs w:val="16"/>
                            </w:rPr>
                            <w:fldChar w:fldCharType="begin"/>
                          </w:r>
                          <w:r w:rsidR="0009519A" w:rsidRPr="00855A66">
                            <w:rPr>
                              <w:rFonts w:asciiTheme="minorHAnsi" w:hAnsiTheme="minorHAnsi" w:cstheme="minorHAnsi"/>
                              <w:bCs/>
                              <w:sz w:val="16"/>
                              <w:szCs w:val="16"/>
                            </w:rPr>
                            <w:instrText xml:space="preserve"> PAGE </w:instrText>
                          </w:r>
                          <w:r w:rsidR="0009519A" w:rsidRPr="00855A66">
                            <w:rPr>
                              <w:rFonts w:asciiTheme="minorHAnsi" w:hAnsiTheme="minorHAnsi" w:cstheme="minorHAnsi"/>
                              <w:bCs/>
                              <w:sz w:val="16"/>
                              <w:szCs w:val="16"/>
                            </w:rPr>
                            <w:fldChar w:fldCharType="separate"/>
                          </w:r>
                          <w:r w:rsidR="00833998" w:rsidRPr="00855A66">
                            <w:rPr>
                              <w:rFonts w:asciiTheme="minorHAnsi" w:hAnsiTheme="minorHAnsi" w:cstheme="minorHAnsi"/>
                              <w:bCs/>
                              <w:noProof/>
                              <w:sz w:val="16"/>
                              <w:szCs w:val="16"/>
                            </w:rPr>
                            <w:t>8</w:t>
                          </w:r>
                          <w:r w:rsidR="0009519A" w:rsidRPr="00855A66">
                            <w:rPr>
                              <w:rFonts w:asciiTheme="minorHAnsi" w:hAnsiTheme="minorHAnsi" w:cstheme="minorHAnsi"/>
                              <w:bCs/>
                              <w:sz w:val="16"/>
                              <w:szCs w:val="16"/>
                            </w:rPr>
                            <w:fldChar w:fldCharType="end"/>
                          </w:r>
                          <w:r w:rsidR="0009519A" w:rsidRPr="00855A66">
                            <w:rPr>
                              <w:rFonts w:asciiTheme="minorHAnsi" w:hAnsiTheme="minorHAnsi" w:cstheme="minorHAnsi"/>
                              <w:spacing w:val="-6"/>
                              <w:sz w:val="16"/>
                              <w:szCs w:val="16"/>
                            </w:rPr>
                            <w:t xml:space="preserve"> </w:t>
                          </w:r>
                          <w:r w:rsidRPr="00855A66">
                            <w:rPr>
                              <w:rFonts w:asciiTheme="minorHAnsi" w:hAnsiTheme="minorHAnsi" w:cstheme="minorHAnsi"/>
                              <w:sz w:val="16"/>
                              <w:szCs w:val="16"/>
                            </w:rPr>
                            <w:t>de</w:t>
                          </w:r>
                          <w:r w:rsidR="0009519A" w:rsidRPr="00855A66">
                            <w:rPr>
                              <w:rFonts w:asciiTheme="minorHAnsi" w:hAnsiTheme="minorHAnsi" w:cstheme="minorHAnsi"/>
                              <w:spacing w:val="-2"/>
                              <w:sz w:val="16"/>
                              <w:szCs w:val="16"/>
                            </w:rPr>
                            <w:t xml:space="preserve"> </w:t>
                          </w:r>
                          <w:r w:rsidR="0009519A" w:rsidRPr="00855A66">
                            <w:rPr>
                              <w:rFonts w:asciiTheme="minorHAnsi" w:hAnsiTheme="minorHAnsi" w:cstheme="minorHAnsi"/>
                              <w:spacing w:val="-5"/>
                              <w:sz w:val="16"/>
                              <w:szCs w:val="16"/>
                            </w:rPr>
                            <w:fldChar w:fldCharType="begin"/>
                          </w:r>
                          <w:r w:rsidR="0009519A" w:rsidRPr="00855A66">
                            <w:rPr>
                              <w:rFonts w:asciiTheme="minorHAnsi" w:hAnsiTheme="minorHAnsi" w:cstheme="minorHAnsi"/>
                              <w:spacing w:val="-5"/>
                              <w:sz w:val="16"/>
                              <w:szCs w:val="16"/>
                            </w:rPr>
                            <w:instrText xml:space="preserve"> NUMPAGES </w:instrText>
                          </w:r>
                          <w:r w:rsidR="0009519A" w:rsidRPr="00855A66">
                            <w:rPr>
                              <w:rFonts w:asciiTheme="minorHAnsi" w:hAnsiTheme="minorHAnsi" w:cstheme="minorHAnsi"/>
                              <w:spacing w:val="-5"/>
                              <w:sz w:val="16"/>
                              <w:szCs w:val="16"/>
                            </w:rPr>
                            <w:fldChar w:fldCharType="separate"/>
                          </w:r>
                          <w:r w:rsidR="00833998" w:rsidRPr="00855A66">
                            <w:rPr>
                              <w:rFonts w:asciiTheme="minorHAnsi" w:hAnsiTheme="minorHAnsi" w:cstheme="minorHAnsi"/>
                              <w:noProof/>
                              <w:spacing w:val="-5"/>
                              <w:sz w:val="16"/>
                              <w:szCs w:val="16"/>
                            </w:rPr>
                            <w:t>33</w:t>
                          </w:r>
                          <w:r w:rsidR="0009519A" w:rsidRPr="00855A66">
                            <w:rPr>
                              <w:rFonts w:asciiTheme="minorHAnsi" w:hAnsiTheme="minorHAnsi" w:cstheme="minorHAnsi"/>
                              <w:spacing w:val="-5"/>
                              <w:sz w:val="16"/>
                              <w:szCs w:val="16"/>
                            </w:rPr>
                            <w:fldChar w:fldCharType="end"/>
                          </w:r>
                        </w:p>
                      </w:txbxContent>
                    </wps:txbx>
                    <wps:bodyPr vert="horz" wrap="square" lIns="0" tIns="0" rIns="0" bIns="0" anchor="t" anchorCtr="0" compatLnSpc="0">
                      <a:noAutofit/>
                    </wps:bodyPr>
                  </wps:wsp>
                </a:graphicData>
              </a:graphic>
            </wp:anchor>
          </w:drawing>
        </mc:Choice>
        <mc:Fallback xmlns:a="http://schemas.openxmlformats.org/drawingml/2006/main" xmlns:arto="http://schemas.microsoft.com/office/word/2006/arto" xmlns:w16sdtfl="http://schemas.microsoft.com/office/word/2024/wordml/sdtformatlock" xmlns:w16du="http://schemas.microsoft.com/office/word/2023/wordml/word16du" xmlns:oel="http://schemas.microsoft.com/office/2019/extlst">
          <w:pict w14:anchorId="19BA732E">
            <v:shapetype id="_x0000_t202" coordsize="21600,21600" o:spt="202" path="m,l,21600r21600,l21600,xe" w14:anchorId="212B4F7A">
              <v:stroke joinstyle="miter"/>
              <v:path gradientshapeok="t" o:connecttype="rect"/>
            </v:shapetype>
            <v:shape id="Textbox 3" style="position:absolute;margin-left:18.05pt;margin-top:727.9pt;width:69.25pt;height:12.75pt;z-index:-251658240;visibility:visible;mso-wrap-style:square;mso-wrap-distance-left:9pt;mso-wrap-distance-top:0;mso-wrap-distance-right:9pt;mso-wrap-distance-bottom:0;mso-position-horizontal:right;mso-position-horizontal-relative:margin;mso-position-vertical:absolute;mso-position-vertical-relative:page;v-text-anchor:top" o:spid="_x0000_s1026" filled="f" stroked="f" type="#_x0000_t20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5jflKsgEAAFsDAAAOAAAAZHJzL2Uyb0RvYy54bWysU9tu2zAMfR/QfxD03jgJ1psRp9gWdBhQ bAXSfYAiS7EASdREJXb29aPkXIb2bdgLTZHU0eEhvXgcnGV7FdGAb/hsMuVMeQmt8duG/3x9ur7n DJPwrbDgVcMPCvnj8urDog+1mkMHtlWREYjHug8N71IKdVWh7JQTOIGgPCU1RCcSHeO2aqPoCd3Z aj6d3lY9xDZEkAqRoqsxyZcFX2sl0w+tUSVmG07cUrGx2E221XIh6m0UoTPySEP8AwsnjKdHz1Ar kQTbRfMOyhkZAUGniQRXgdZGqtIDdTObvulm3YmgSi8kDoazTPj/YOX3/Tq8RJaGzzDQALMgfcAa KZj7GXR0+UtMGeVJwsNZNjUkJil4f/fw8e6GM0mp2e3sYX6TUarL5RAxfVXgWHYaHmkqRSyxf8Y0 lp5K8lsenoy1ZTLWvwnkupXAbryV09WFbvbSsBkomd0NtAdqjbaTHu0g/uasp0k3HH/tRFSc2W+e pMxrcXLiydmcHOElXW144mx0v6RxfWh+QaRnvw4yY4w8P+0SaFN6ujA4cqQJFlWO25ZX5O9zqbr8 E8s/AAAA//8DAFBLAwQUAAYACAAAACEAnW8aut4AAAAKAQAADwAAAGRycy9kb3ducmV2LnhtbEyP QU+DQBCF7yb+h82YeLNLrTSUsjSN0ZOJkeLB4wJT2JSdRXbb4r93OOlx3nt5875sN9leXHD0xpGC 5SICgVS7xlCr4LN8fUhA+KCp0b0jVPCDHnb57U2m08ZdqcDLIbSCS8inWkEXwpBK6esOrfYLNyCx d3Sj1YHPsZXNqK9cbnv5GEVrabUh/tDpAZ87rE+Hs1Ww/6LixXy/Vx/FsTBluYnobX1S6v5u2m9B BJzCXxjm+Twdct5UuTM1XvQKGCSw+hTHTDD7qyQGUc1SslyBzDP5HyH/BQAA//8DAFBLAQItABQA BgAIAAAAIQC2gziS/gAAAOEBAAATAAAAAAAAAAAAAAAAAAAAAABbQ29udGVudF9UeXBlc10ueG1s UEsBAi0AFAAGAAgAAAAhADj9If/WAAAAlAEAAAsAAAAAAAAAAAAAAAAALwEAAF9yZWxzLy5yZWxz UEsBAi0AFAAGAAgAAAAhALmN+UqyAQAAWwMAAA4AAAAAAAAAAAAAAAAALgIAAGRycy9lMm9Eb2Mu eG1sUEsBAi0AFAAGAAgAAAAhAJ1vGrreAAAACgEAAA8AAAAAAAAAAAAAAAAADAQAAGRycy9kb3du cmV2LnhtbFBLBQYAAAAABAAEAPMAAAAXBQAAAAA= ">
              <v:textbox inset="0,0,0,0">
                <w:txbxContent>
                  <w:p w:rsidRPr="00855A66" w:rsidR="0009519A" w:rsidP="00703512" w:rsidRDefault="007B0E44" w14:paraId="42F21AEF" w14:textId="5215F060">
                    <w:pPr>
                      <w:spacing w:before="32"/>
                      <w:ind w:left="20"/>
                      <w:jc w:val="right"/>
                      <w:rPr>
                        <w:rFonts w:asciiTheme="minorHAnsi" w:hAnsiTheme="minorHAnsi" w:cstheme="minorHAnsi"/>
                      </w:rPr>
                    </w:pPr>
                    <w:r w:rsidRPr="00855A66">
                      <w:rPr>
                        <w:rFonts w:asciiTheme="minorHAnsi" w:hAnsiTheme="minorHAnsi" w:cstheme="minorHAnsi"/>
                        <w:sz w:val="16"/>
                        <w:szCs w:val="16"/>
                      </w:rPr>
                      <w:t>Página</w:t>
                    </w:r>
                    <w:r w:rsidRPr="00855A66" w:rsidR="0009519A">
                      <w:rPr>
                        <w:rFonts w:asciiTheme="minorHAnsi" w:hAnsiTheme="minorHAnsi" w:cstheme="minorHAnsi"/>
                        <w:spacing w:val="-3"/>
                        <w:sz w:val="16"/>
                        <w:szCs w:val="16"/>
                      </w:rPr>
                      <w:t xml:space="preserve"> </w:t>
                    </w:r>
                    <w:r w:rsidRPr="00855A66" w:rsidR="0009519A">
                      <w:rPr>
                        <w:rFonts w:asciiTheme="minorHAnsi" w:hAnsiTheme="minorHAnsi" w:cstheme="minorHAnsi"/>
                        <w:bCs/>
                        <w:sz w:val="16"/>
                        <w:szCs w:val="16"/>
                      </w:rPr>
                      <w:fldChar w:fldCharType="begin"/>
                    </w:r>
                    <w:r w:rsidRPr="00855A66" w:rsidR="0009519A">
                      <w:rPr>
                        <w:rFonts w:asciiTheme="minorHAnsi" w:hAnsiTheme="minorHAnsi" w:cstheme="minorHAnsi"/>
                        <w:bCs/>
                        <w:sz w:val="16"/>
                        <w:szCs w:val="16"/>
                      </w:rPr>
                      <w:instrText xml:space="preserve"> PAGE </w:instrText>
                    </w:r>
                    <w:r w:rsidRPr="00855A66" w:rsidR="0009519A">
                      <w:rPr>
                        <w:rFonts w:asciiTheme="minorHAnsi" w:hAnsiTheme="minorHAnsi" w:cstheme="minorHAnsi"/>
                        <w:bCs/>
                        <w:sz w:val="16"/>
                        <w:szCs w:val="16"/>
                      </w:rPr>
                      <w:fldChar w:fldCharType="separate"/>
                    </w:r>
                    <w:r w:rsidRPr="00855A66" w:rsidR="00833998">
                      <w:rPr>
                        <w:rFonts w:asciiTheme="minorHAnsi" w:hAnsiTheme="minorHAnsi" w:cstheme="minorHAnsi"/>
                        <w:bCs/>
                        <w:noProof/>
                        <w:sz w:val="16"/>
                        <w:szCs w:val="16"/>
                      </w:rPr>
                      <w:t>8</w:t>
                    </w:r>
                    <w:r w:rsidRPr="00855A66" w:rsidR="0009519A">
                      <w:rPr>
                        <w:rFonts w:asciiTheme="minorHAnsi" w:hAnsiTheme="minorHAnsi" w:cstheme="minorHAnsi"/>
                        <w:bCs/>
                        <w:sz w:val="16"/>
                        <w:szCs w:val="16"/>
                      </w:rPr>
                      <w:fldChar w:fldCharType="end"/>
                    </w:r>
                    <w:r w:rsidRPr="00855A66" w:rsidR="0009519A">
                      <w:rPr>
                        <w:rFonts w:asciiTheme="minorHAnsi" w:hAnsiTheme="minorHAnsi" w:cstheme="minorHAnsi"/>
                        <w:spacing w:val="-6"/>
                        <w:sz w:val="16"/>
                        <w:szCs w:val="16"/>
                      </w:rPr>
                      <w:t xml:space="preserve"> </w:t>
                    </w:r>
                    <w:r w:rsidRPr="00855A66">
                      <w:rPr>
                        <w:rFonts w:asciiTheme="minorHAnsi" w:hAnsiTheme="minorHAnsi" w:cstheme="minorHAnsi"/>
                        <w:sz w:val="16"/>
                        <w:szCs w:val="16"/>
                      </w:rPr>
                      <w:t>de</w:t>
                    </w:r>
                    <w:r w:rsidRPr="00855A66" w:rsidR="0009519A">
                      <w:rPr>
                        <w:rFonts w:asciiTheme="minorHAnsi" w:hAnsiTheme="minorHAnsi" w:cstheme="minorHAnsi"/>
                        <w:spacing w:val="-2"/>
                        <w:sz w:val="16"/>
                        <w:szCs w:val="16"/>
                      </w:rPr>
                      <w:t xml:space="preserve"> </w:t>
                    </w:r>
                    <w:r w:rsidRPr="00855A66" w:rsidR="0009519A">
                      <w:rPr>
                        <w:rFonts w:asciiTheme="minorHAnsi" w:hAnsiTheme="minorHAnsi" w:cstheme="minorHAnsi"/>
                        <w:spacing w:val="-5"/>
                        <w:sz w:val="16"/>
                        <w:szCs w:val="16"/>
                      </w:rPr>
                      <w:fldChar w:fldCharType="begin"/>
                    </w:r>
                    <w:r w:rsidRPr="00855A66" w:rsidR="0009519A">
                      <w:rPr>
                        <w:rFonts w:asciiTheme="minorHAnsi" w:hAnsiTheme="minorHAnsi" w:cstheme="minorHAnsi"/>
                        <w:spacing w:val="-5"/>
                        <w:sz w:val="16"/>
                        <w:szCs w:val="16"/>
                      </w:rPr>
                      <w:instrText xml:space="preserve"> NUMPAGES </w:instrText>
                    </w:r>
                    <w:r w:rsidRPr="00855A66" w:rsidR="0009519A">
                      <w:rPr>
                        <w:rFonts w:asciiTheme="minorHAnsi" w:hAnsiTheme="minorHAnsi" w:cstheme="minorHAnsi"/>
                        <w:spacing w:val="-5"/>
                        <w:sz w:val="16"/>
                        <w:szCs w:val="16"/>
                      </w:rPr>
                      <w:fldChar w:fldCharType="separate"/>
                    </w:r>
                    <w:r w:rsidRPr="00855A66" w:rsidR="00833998">
                      <w:rPr>
                        <w:rFonts w:asciiTheme="minorHAnsi" w:hAnsiTheme="minorHAnsi" w:cstheme="minorHAnsi"/>
                        <w:noProof/>
                        <w:spacing w:val="-5"/>
                        <w:sz w:val="16"/>
                        <w:szCs w:val="16"/>
                      </w:rPr>
                      <w:t>33</w:t>
                    </w:r>
                    <w:r w:rsidRPr="00855A66" w:rsidR="0009519A">
                      <w:rPr>
                        <w:rFonts w:asciiTheme="minorHAnsi" w:hAnsiTheme="minorHAnsi" w:cstheme="minorHAnsi"/>
                        <w:spacing w:val="-5"/>
                        <w:sz w:val="16"/>
                        <w:szCs w:val="16"/>
                      </w:rPr>
                      <w:fldChar w:fldCharType="end"/>
                    </w:r>
                  </w:p>
                </w:txbxContent>
              </v:textbox>
              <w10:wrap anchorx="margin" anchory="page"/>
            </v:shape>
          </w:pict>
        </mc:Fallback>
      </mc:AlternateContent>
    </w:r>
    <w:r w:rsidR="007B0E44" w:rsidRPr="007364F8">
      <w:rPr>
        <w:rFonts w:asciiTheme="minorHAnsi" w:eastAsia="Helvetica Neue" w:hAnsiTheme="minorHAnsi" w:cstheme="minorHAnsi"/>
        <w:sz w:val="16"/>
        <w:szCs w:val="16"/>
      </w:rPr>
      <w:t>Dirección: Carrera 12 No. 84 A - 12, Of. 601 Bogotá D.C., Colombia</w:t>
    </w:r>
  </w:p>
  <w:p w14:paraId="33E12720" w14:textId="77777777" w:rsidR="007B0E44" w:rsidRPr="007364F8" w:rsidRDefault="007B0E44" w:rsidP="007B0E44">
    <w:pPr>
      <w:pStyle w:val="Sinespaciado"/>
      <w:rPr>
        <w:rFonts w:asciiTheme="minorHAnsi" w:hAnsiTheme="minorHAnsi" w:cstheme="minorHAnsi"/>
        <w:sz w:val="16"/>
        <w:szCs w:val="16"/>
      </w:rPr>
    </w:pPr>
    <w:r w:rsidRPr="007364F8">
      <w:rPr>
        <w:rFonts w:asciiTheme="minorHAnsi" w:eastAsia="Helvetica Neue" w:hAnsiTheme="minorHAnsi" w:cstheme="minorHAnsi"/>
        <w:sz w:val="16"/>
        <w:szCs w:val="16"/>
      </w:rPr>
      <w:t>Línea Gratuita: (601) 492 72 32</w:t>
    </w:r>
  </w:p>
  <w:p w14:paraId="598BF97E" w14:textId="67B34619" w:rsidR="0009519A" w:rsidRDefault="00E66AB0" w:rsidP="00703512">
    <w:pPr>
      <w:pStyle w:val="Sinespaciado"/>
    </w:pPr>
    <w:hyperlink r:id="rId1" w:history="1">
      <w:r w:rsidR="007B0E44" w:rsidRPr="007364F8">
        <w:rPr>
          <w:rStyle w:val="Hipervnculo"/>
          <w:rFonts w:asciiTheme="minorHAnsi" w:eastAsia="Helvetica Neue" w:hAnsiTheme="minorHAnsi" w:cstheme="minorHAnsi"/>
          <w:sz w:val="16"/>
          <w:szCs w:val="16"/>
        </w:rPr>
        <w:t>www.fenoge.gov.co</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D00EAF" w14:textId="77777777" w:rsidR="0091384D" w:rsidRDefault="0091384D">
      <w:r>
        <w:rPr>
          <w:color w:val="000000"/>
        </w:rPr>
        <w:separator/>
      </w:r>
    </w:p>
  </w:footnote>
  <w:footnote w:type="continuationSeparator" w:id="0">
    <w:p w14:paraId="32DAE6D5" w14:textId="77777777" w:rsidR="0091384D" w:rsidRDefault="0091384D">
      <w:r>
        <w:continuationSeparator/>
      </w:r>
    </w:p>
  </w:footnote>
  <w:footnote w:type="continuationNotice" w:id="1">
    <w:p w14:paraId="42BF22F7" w14:textId="77777777" w:rsidR="0091384D" w:rsidRDefault="0091384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5450A" w14:textId="3B26CFCA" w:rsidR="0009519A" w:rsidRDefault="0009519A" w:rsidP="00E546DE">
    <w:pPr>
      <w:pStyle w:val="Encabezado"/>
      <w:jc w:val="center"/>
    </w:pPr>
    <w:r>
      <w:rPr>
        <w:noProof/>
        <w:lang w:val="es-CO" w:eastAsia="es-CO"/>
      </w:rPr>
      <w:drawing>
        <wp:inline distT="0" distB="0" distL="0" distR="0" wp14:anchorId="5AFE4D6D" wp14:editId="3EFD8163">
          <wp:extent cx="1000125" cy="752475"/>
          <wp:effectExtent l="0" t="0" r="0" b="9525"/>
          <wp:docPr id="1586760876" name="Imagen 1" descr="Logotipo  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1636226479" name="Imagen 1" descr="Logotipo  El contenido generado por IA puede ser incorrecto."/>
                  <pic:cNvPicPr/>
                </pic:nvPicPr>
                <pic:blipFill>
                  <a:blip r:embed="rId1"/>
                  <a:srcRect/>
                  <a:stretch>
                    <a:fillRect/>
                  </a:stretch>
                </pic:blipFill>
                <pic:spPr>
                  <a:xfrm>
                    <a:off x="0" y="0"/>
                    <a:ext cx="1000698" cy="752906"/>
                  </a:xfrm>
                  <a:prstGeom prst="rect">
                    <a:avLst/>
                  </a:prstGeom>
                  <a:noFill/>
                  <a:ln>
                    <a:noFill/>
                    <a:prstDash/>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1F18C" w14:textId="10E4FD3D" w:rsidR="0009519A" w:rsidRDefault="0009519A" w:rsidP="005436F3">
    <w:pPr>
      <w:pStyle w:val="Encabezado"/>
      <w:tabs>
        <w:tab w:val="clear" w:pos="9360"/>
        <w:tab w:val="left" w:pos="7650"/>
      </w:tabs>
      <w:jc w:val="center"/>
    </w:pPr>
    <w:r>
      <w:rPr>
        <w:noProof/>
        <w:lang w:val="es-CO" w:eastAsia="es-CO"/>
      </w:rPr>
      <w:drawing>
        <wp:inline distT="0" distB="0" distL="0" distR="0" wp14:anchorId="6653148E" wp14:editId="1C486A86">
          <wp:extent cx="1049621" cy="721489"/>
          <wp:effectExtent l="0" t="0" r="0" b="2411"/>
          <wp:docPr id="145380507"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1049621" cy="721489"/>
                  </a:xfrm>
                  <a:prstGeom prst="rect">
                    <a:avLst/>
                  </a:prstGeom>
                  <a:noFill/>
                  <a:ln>
                    <a:noFill/>
                    <a:prstDash/>
                  </a:ln>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qR3LtN9J2L/gqZ" int2:id="167gQPCQ">
      <int2:state int2:value="Rejected" int2:type="spell"/>
    </int2:textHash>
    <int2:textHash int2:hashCode="kw9GCIu/J8T0T6" int2:id="1vuEu5qm">
      <int2:state int2:value="Rejected" int2:type="spell"/>
    </int2:textHash>
    <int2:textHash int2:hashCode="WNbI7mGRZ8Ap07" int2:id="23wtsvH3">
      <int2:state int2:value="Rejected" int2:type="spell"/>
    </int2:textHash>
    <int2:textHash int2:hashCode="Q0OEglcPykxoEf" int2:id="2V3MncCl">
      <int2:state int2:value="Rejected" int2:type="spell"/>
    </int2:textHash>
    <int2:textHash int2:hashCode="r2QWJzyNXQgoze" int2:id="2iBjsdCO">
      <int2:state int2:value="Rejected" int2:type="spell"/>
    </int2:textHash>
    <int2:textHash int2:hashCode="0/dM5DoJNSZs+f" int2:id="3zyM7HQu">
      <int2:state int2:value="Rejected" int2:type="spell"/>
    </int2:textHash>
    <int2:textHash int2:hashCode="Ni1gyz9vjpbDft" int2:id="45sMRvaB">
      <int2:state int2:value="Rejected" int2:type="spell"/>
    </int2:textHash>
    <int2:textHash int2:hashCode="zh5HdoLD4ZjkSS" int2:id="55qkxYaw">
      <int2:state int2:value="Rejected" int2:type="spell"/>
    </int2:textHash>
    <int2:textHash int2:hashCode="y42/uXs8bsjQnf" int2:id="6UqyuV98">
      <int2:state int2:value="Rejected" int2:type="spell"/>
    </int2:textHash>
    <int2:textHash int2:hashCode="ZnKM7VSojouf1P" int2:id="6z625k18">
      <int2:state int2:value="Rejected" int2:type="spell"/>
    </int2:textHash>
    <int2:textHash int2:hashCode="L0K7W8aVWpmIrW" int2:id="8x4ICmLO">
      <int2:state int2:value="Rejected" int2:type="spell"/>
    </int2:textHash>
    <int2:textHash int2:hashCode="aV5htu6ZLyY+wS" int2:id="9dZevpZL">
      <int2:state int2:value="Rejected" int2:type="spell"/>
    </int2:textHash>
    <int2:textHash int2:hashCode="y77RLprXHVFWXY" int2:id="A9L6lZO4">
      <int2:state int2:value="Rejected" int2:type="spell"/>
    </int2:textHash>
    <int2:textHash int2:hashCode="edGKR+LaNLarlH" int2:id="AVTOsh7V">
      <int2:state int2:value="Rejected" int2:type="spell"/>
    </int2:textHash>
    <int2:textHash int2:hashCode="Pm+pQaN7a2YRAf" int2:id="AfoGH2pl">
      <int2:state int2:value="Rejected" int2:type="spell"/>
    </int2:textHash>
    <int2:textHash int2:hashCode="406mtCIGqcj3lJ" int2:id="AwPT3u2d">
      <int2:state int2:value="Rejected" int2:type="spell"/>
    </int2:textHash>
    <int2:textHash int2:hashCode="2roS87ei0gSUL3" int2:id="Bbq9Po6C">
      <int2:state int2:value="Rejected" int2:type="spell"/>
    </int2:textHash>
    <int2:textHash int2:hashCode="SyyXPia+4Wigcg" int2:id="Cl4EfymE">
      <int2:state int2:value="Rejected" int2:type="spell"/>
    </int2:textHash>
    <int2:textHash int2:hashCode="zTmGTjSVbkaJsG" int2:id="DHS0ZT6m">
      <int2:state int2:value="Rejected" int2:type="spell"/>
    </int2:textHash>
    <int2:textHash int2:hashCode="88VDrV/p1pYD59" int2:id="FR8BQYSn">
      <int2:state int2:value="Rejected" int2:type="spell"/>
    </int2:textHash>
    <int2:textHash int2:hashCode="uR+mwxVRf8VGG2" int2:id="G5xjrN1v">
      <int2:state int2:value="Rejected" int2:type="spell"/>
    </int2:textHash>
    <int2:textHash int2:hashCode="uh1DF5Nd/8D2Af" int2:id="G8k2obq1">
      <int2:state int2:value="Rejected" int2:type="spell"/>
    </int2:textHash>
    <int2:textHash int2:hashCode="rtNffEBqNcPP9b" int2:id="GegELg8G">
      <int2:state int2:value="Rejected" int2:type="spell"/>
    </int2:textHash>
    <int2:textHash int2:hashCode="+V7tpuG2gj9CT2" int2:id="Gen5mapd">
      <int2:state int2:value="Rejected" int2:type="spell"/>
    </int2:textHash>
    <int2:textHash int2:hashCode="AVMXmB8bzpGu03" int2:id="H37ASoXn">
      <int2:state int2:value="Rejected" int2:type="spell"/>
    </int2:textHash>
    <int2:textHash int2:hashCode="wxj7wG+up7m8HA" int2:id="HdzEPwAo">
      <int2:state int2:value="Rejected" int2:type="spell"/>
    </int2:textHash>
    <int2:textHash int2:hashCode="5vsGIQ+vwC/XR5" int2:id="HyUWm99j">
      <int2:state int2:value="Rejected" int2:type="spell"/>
    </int2:textHash>
    <int2:textHash int2:hashCode="Zqu0ngCG3+XARo" int2:id="IDg8ylDv">
      <int2:state int2:value="Rejected" int2:type="spell"/>
    </int2:textHash>
    <int2:textHash int2:hashCode="HahAJEmJnsG6nD" int2:id="JP9fcfIF">
      <int2:state int2:value="Rejected" int2:type="spell"/>
    </int2:textHash>
    <int2:textHash int2:hashCode="yc4G5hWGPaduIB" int2:id="JncNHbrk">
      <int2:state int2:value="Rejected" int2:type="spell"/>
    </int2:textHash>
    <int2:textHash int2:hashCode="p7mrHkBs6WHFJG" int2:id="K9sfn8Uk">
      <int2:state int2:value="Rejected" int2:type="spell"/>
    </int2:textHash>
    <int2:textHash int2:hashCode="npGUD/kjHvl+fK" int2:id="KGvHr35E">
      <int2:state int2:value="Rejected" int2:type="spell"/>
    </int2:textHash>
    <int2:textHash int2:hashCode="QIFYZD7VZMcvoJ" int2:id="KUoZHpJT">
      <int2:state int2:value="Rejected" int2:type="spell"/>
    </int2:textHash>
    <int2:textHash int2:hashCode="Q3Sq7iR/sjfObJ" int2:id="L6qUQnWZ">
      <int2:state int2:value="Rejected" int2:type="spell"/>
    </int2:textHash>
    <int2:textHash int2:hashCode="Mcos/xuZN37BL6" int2:id="LjyD5E6n">
      <int2:state int2:value="Rejected" int2:type="spell"/>
    </int2:textHash>
    <int2:textHash int2:hashCode="f3ig3usUsCOD/v" int2:id="NHTAGp9P">
      <int2:state int2:value="Rejected" int2:type="spell"/>
    </int2:textHash>
    <int2:textHash int2:hashCode="S9jt2stgtBKASB" int2:id="NYSOZKFc">
      <int2:state int2:value="Rejected" int2:type="spell"/>
    </int2:textHash>
    <int2:textHash int2:hashCode="hqKNiPAHBOWiiz" int2:id="NkPrfzGA">
      <int2:state int2:value="Rejected" int2:type="spell"/>
    </int2:textHash>
    <int2:textHash int2:hashCode="dI8I4uCuW1FRyC" int2:id="Np8ALFC8">
      <int2:state int2:value="Rejected" int2:type="spell"/>
    </int2:textHash>
    <int2:textHash int2:hashCode="w3xxbhpo4eThZ5" int2:id="NqJ7FtYu">
      <int2:state int2:value="Rejected" int2:type="spell"/>
    </int2:textHash>
    <int2:textHash int2:hashCode="MBO/dA545rEIt4" int2:id="OnE3I7CS">
      <int2:state int2:value="Rejected" int2:type="spell"/>
    </int2:textHash>
    <int2:textHash int2:hashCode="D+pAPK2WZwJ49a" int2:id="PUjh109L">
      <int2:state int2:value="Rejected" int2:type="spell"/>
    </int2:textHash>
    <int2:textHash int2:hashCode="+PGTcSOfagWyur" int2:id="QsgkWu8G">
      <int2:state int2:value="Rejected" int2:type="spell"/>
    </int2:textHash>
    <int2:textHash int2:hashCode="Be4vOIHl+4VEze" int2:id="QwQoaQoN">
      <int2:state int2:value="Rejected" int2:type="spell"/>
    </int2:textHash>
    <int2:textHash int2:hashCode="4mMXzGvMiXDm2f" int2:id="RB1fo2nh">
      <int2:state int2:value="Rejected" int2:type="spell"/>
    </int2:textHash>
    <int2:textHash int2:hashCode="L2AVGwqiAMhuvX" int2:id="RGqJJbdW">
      <int2:state int2:value="Rejected" int2:type="spell"/>
    </int2:textHash>
    <int2:textHash int2:hashCode="SH1JDZ/t4mO1bL" int2:id="S9L9jcLF">
      <int2:state int2:value="Rejected" int2:type="spell"/>
    </int2:textHash>
    <int2:textHash int2:hashCode="Cm3dxpCwW6OFuo" int2:id="SPfyFeK8">
      <int2:state int2:value="Rejected" int2:type="spell"/>
    </int2:textHash>
    <int2:textHash int2:hashCode="szH8Z68vj2Ihbc" int2:id="TqVfByVU">
      <int2:state int2:value="Rejected" int2:type="spell"/>
    </int2:textHash>
    <int2:textHash int2:hashCode="XSQy1GNtJX6SwJ" int2:id="V5x2BjVy">
      <int2:state int2:value="Rejected" int2:type="spell"/>
    </int2:textHash>
    <int2:textHash int2:hashCode="FsxU//JGtEH3De" int2:id="VWJPQPQd">
      <int2:state int2:value="Rejected" int2:type="spell"/>
    </int2:textHash>
    <int2:textHash int2:hashCode="BKtUbFuqCj2bBV" int2:id="W9wsE6XD">
      <int2:state int2:value="Rejected" int2:type="spell"/>
    </int2:textHash>
    <int2:textHash int2:hashCode="GIfzwxcMSoWuDp" int2:id="WTwDFXis">
      <int2:state int2:value="Rejected" int2:type="spell"/>
    </int2:textHash>
    <int2:textHash int2:hashCode="iu3zhVlwcdFGQj" int2:id="Yp8uwZKI">
      <int2:state int2:value="Rejected" int2:type="spell"/>
    </int2:textHash>
    <int2:textHash int2:hashCode="B9yZDQlnJtUche" int2:id="ZGnNmfft">
      <int2:state int2:value="Rejected" int2:type="spell"/>
    </int2:textHash>
    <int2:textHash int2:hashCode="tRwx2c7+J5NXtM" int2:id="ZVKDRgAD">
      <int2:state int2:value="Rejected" int2:type="spell"/>
    </int2:textHash>
    <int2:textHash int2:hashCode="C1zOqvpMwHLqXl" int2:id="ZvCMcP1p">
      <int2:state int2:value="Rejected" int2:type="spell"/>
    </int2:textHash>
    <int2:textHash int2:hashCode="K10F01lLg7ogr7" int2:id="a3qn9n9K">
      <int2:state int2:value="Rejected" int2:type="spell"/>
    </int2:textHash>
    <int2:textHash int2:hashCode="gaAiOCXDbGLr9H" int2:id="b3Kc67Jf">
      <int2:state int2:value="Rejected" int2:type="spell"/>
    </int2:textHash>
    <int2:textHash int2:hashCode="r3wfl7FhlyyX3S" int2:id="cAMr7DW9">
      <int2:state int2:value="Rejected" int2:type="spell"/>
    </int2:textHash>
    <int2:textHash int2:hashCode="BAj06tJvlV5V8n" int2:id="ctmmN0qr">
      <int2:state int2:value="Rejected" int2:type="spell"/>
    </int2:textHash>
    <int2:textHash int2:hashCode="c6CXwNBIV6U7lm" int2:id="eDUfxZQH">
      <int2:state int2:value="Rejected" int2:type="spell"/>
    </int2:textHash>
    <int2:textHash int2:hashCode="d2cb1CHsf0a0ri" int2:id="eEUWdsg2">
      <int2:state int2:value="Rejected" int2:type="spell"/>
    </int2:textHash>
    <int2:textHash int2:hashCode="KLYyw5I0JaI2cw" int2:id="eT8jj7Db">
      <int2:state int2:value="Rejected" int2:type="spell"/>
    </int2:textHash>
    <int2:textHash int2:hashCode="D/Ilf91G0UiPdN" int2:id="gYKdErXU">
      <int2:state int2:value="Rejected" int2:type="spell"/>
    </int2:textHash>
    <int2:textHash int2:hashCode="UPY9VrxFntpKKK" int2:id="h7pvfuE5">
      <int2:state int2:value="Rejected" int2:type="spell"/>
    </int2:textHash>
    <int2:textHash int2:hashCode="yu3XEUqqejw95O" int2:id="iEdqXBgZ">
      <int2:state int2:value="Rejected" int2:type="spell"/>
    </int2:textHash>
    <int2:textHash int2:hashCode="0OwmUGyMGJ1SD0" int2:id="iPIezYfw">
      <int2:state int2:value="Rejected" int2:type="spell"/>
    </int2:textHash>
    <int2:textHash int2:hashCode="a2ZeifI+FzH5Nl" int2:id="iiqy0cKS">
      <int2:state int2:value="Rejected" int2:type="spell"/>
    </int2:textHash>
    <int2:textHash int2:hashCode="3+55eNLA3OQPb0" int2:id="jPnBwQjL">
      <int2:state int2:value="Rejected" int2:type="spell"/>
    </int2:textHash>
    <int2:textHash int2:hashCode="ohz/L6aqUHiT7X" int2:id="jWL8ovQ7">
      <int2:state int2:value="Rejected" int2:type="spell"/>
    </int2:textHash>
    <int2:textHash int2:hashCode="7LJSBEteoPZ57n" int2:id="kR7c2zl2">
      <int2:state int2:value="Rejected" int2:type="spell"/>
    </int2:textHash>
    <int2:textHash int2:hashCode="lDk2qfkf1zsGFM" int2:id="kygKAn9M">
      <int2:state int2:value="Rejected" int2:type="spell"/>
    </int2:textHash>
    <int2:textHash int2:hashCode="t70UxIDnP/Zpyy" int2:id="mUu8xDCD">
      <int2:state int2:value="Rejected" int2:type="spell"/>
    </int2:textHash>
    <int2:textHash int2:hashCode="2z1AWxBnWZjAMC" int2:id="mcEDV8yM">
      <int2:state int2:value="Rejected" int2:type="spell"/>
    </int2:textHash>
    <int2:textHash int2:hashCode="4qZL8EGBb2rLRe" int2:id="mxIWOEMa">
      <int2:state int2:value="Rejected" int2:type="spell"/>
    </int2:textHash>
    <int2:textHash int2:hashCode="yMwJU/c/0JNZsP" int2:id="n5E0jOzV">
      <int2:state int2:value="Rejected" int2:type="spell"/>
    </int2:textHash>
    <int2:textHash int2:hashCode="3gqKp8qKIryKRd" int2:id="oiU2G3xi">
      <int2:state int2:value="Rejected" int2:type="spell"/>
    </int2:textHash>
    <int2:textHash int2:hashCode="Z8Gn/rFP41QPen" int2:id="qJSAS24x">
      <int2:state int2:value="Rejected" int2:type="spell"/>
    </int2:textHash>
    <int2:textHash int2:hashCode="EBM/eXsDl1UIee" int2:id="qgZJOReB">
      <int2:state int2:value="Rejected" int2:type="spell"/>
    </int2:textHash>
    <int2:textHash int2:hashCode="d7RlveQPLfYnjZ" int2:id="r9U4OOqE">
      <int2:state int2:value="Rejected" int2:type="spell"/>
    </int2:textHash>
    <int2:textHash int2:hashCode="hn61zwrHncgkV8" int2:id="rAnnICH4">
      <int2:state int2:value="Rejected" int2:type="spell"/>
    </int2:textHash>
    <int2:textHash int2:hashCode="k98rX0Gs2KXTNT" int2:id="s5osVjSe">
      <int2:state int2:value="Rejected" int2:type="spell"/>
    </int2:textHash>
    <int2:textHash int2:hashCode="0ie6XrGPnbCR4t" int2:id="sqJUW7Cp">
      <int2:state int2:value="Rejected" int2:type="spell"/>
    </int2:textHash>
    <int2:textHash int2:hashCode="uFz5SbWnLJQbZk" int2:id="ug5Bh0gD">
      <int2:state int2:value="Rejected" int2:type="spell"/>
    </int2:textHash>
    <int2:textHash int2:hashCode="GHfzy25YF2JymX" int2:id="uztQoKsl">
      <int2:state int2:value="Rejected" int2:type="spell"/>
    </int2:textHash>
    <int2:textHash int2:hashCode="W5X3azo+tMC1nA" int2:id="wTE2P9Sz">
      <int2:state int2:value="Rejected" int2:type="spell"/>
    </int2:textHash>
    <int2:textHash int2:hashCode="RpDY/8OkRnujls" int2:id="x1jAJqXb">
      <int2:state int2:value="Rejected" int2:type="spell"/>
    </int2:textHash>
    <int2:textHash int2:hashCode="WbGJBwr3UdTpOn" int2:id="y69RNpPJ">
      <int2:state int2:value="Rejected" int2:type="spell"/>
    </int2:textHash>
    <int2:textHash int2:hashCode="x32iVry3j+W1Iw" int2:id="yDtEhQRg">
      <int2:state int2:value="Rejected" int2:type="spell"/>
    </int2:textHash>
    <int2:textHash int2:hashCode="0fMLoT92M9iVtp" int2:id="yip8LwyU">
      <int2:state int2:value="Rejected" int2:type="spell"/>
    </int2:textHash>
    <int2:textHash int2:hashCode="8TjO3z1Ea8IUyG" int2:id="yzTM0gSq">
      <int2:state int2:value="Rejected" int2:type="spell"/>
    </int2:textHash>
    <int2:textHash int2:hashCode="KN26sDkAT56otE" int2:id="zE8lVRvf">
      <int2:state int2:value="Rejected" int2:type="spell"/>
    </int2:textHash>
    <int2:bookmark int2:bookmarkName="_Int_Tz2mgRzx" int2:invalidationBookmarkName="" int2:hashCode="hv17n1Mcz84Nh1" int2:id="UhQFkoSt">
      <int2:state int2:value="Rejected" int2:type="gram"/>
    </int2:bookmark>
    <int2:bookmark int2:bookmarkName="_Int_Y8MK6RWq" int2:invalidationBookmarkName="" int2:hashCode="gyO1J2WrXK5kX1" int2:id="Y2N063Q0">
      <int2:state int2:value="Rejected" int2:type="gram"/>
    </int2:bookmark>
    <int2:bookmark int2:bookmarkName="_Int_e1kmfnDx" int2:invalidationBookmarkName="" int2:hashCode="MhOvFMqRe9pL22" int2:id="gdtqHlJB">
      <int2:state int2:value="Rejected" int2:type="gram"/>
    </int2:bookmark>
    <int2:bookmark int2:bookmarkName="_Int_QMbsMlG5" int2:invalidationBookmarkName="" int2:hashCode="fnGAyjzBDnsLdt" int2:id="m2ZxP9mX">
      <int2:state int2:value="Rejected" int2:type="gram"/>
    </int2:bookmark>
    <int2:bookmark int2:bookmarkName="_Int_BiBA1Lje" int2:invalidationBookmarkName="" int2:hashCode="hiRIybImKUt95i" int2:id="uKsJe3GM">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AA642"/>
    <w:multiLevelType w:val="hybridMultilevel"/>
    <w:tmpl w:val="FFFFFFFF"/>
    <w:lvl w:ilvl="0" w:tplc="10D8B4EA">
      <w:start w:val="1"/>
      <w:numFmt w:val="bullet"/>
      <w:lvlText w:val="·"/>
      <w:lvlJc w:val="left"/>
      <w:pPr>
        <w:ind w:left="720" w:hanging="360"/>
      </w:pPr>
      <w:rPr>
        <w:rFonts w:ascii="Symbol" w:hAnsi="Symbol" w:hint="default"/>
      </w:rPr>
    </w:lvl>
    <w:lvl w:ilvl="1" w:tplc="FF481CBC">
      <w:start w:val="1"/>
      <w:numFmt w:val="bullet"/>
      <w:lvlText w:val="o"/>
      <w:lvlJc w:val="left"/>
      <w:pPr>
        <w:ind w:left="1440" w:hanging="360"/>
      </w:pPr>
      <w:rPr>
        <w:rFonts w:ascii="Courier New" w:hAnsi="Courier New" w:hint="default"/>
      </w:rPr>
    </w:lvl>
    <w:lvl w:ilvl="2" w:tplc="BEDA2284">
      <w:start w:val="1"/>
      <w:numFmt w:val="bullet"/>
      <w:lvlText w:val=""/>
      <w:lvlJc w:val="left"/>
      <w:pPr>
        <w:ind w:left="2160" w:hanging="360"/>
      </w:pPr>
      <w:rPr>
        <w:rFonts w:ascii="Wingdings" w:hAnsi="Wingdings" w:hint="default"/>
      </w:rPr>
    </w:lvl>
    <w:lvl w:ilvl="3" w:tplc="9DB0E24E">
      <w:start w:val="1"/>
      <w:numFmt w:val="bullet"/>
      <w:lvlText w:val=""/>
      <w:lvlJc w:val="left"/>
      <w:pPr>
        <w:ind w:left="2880" w:hanging="360"/>
      </w:pPr>
      <w:rPr>
        <w:rFonts w:ascii="Symbol" w:hAnsi="Symbol" w:hint="default"/>
      </w:rPr>
    </w:lvl>
    <w:lvl w:ilvl="4" w:tplc="646C1302">
      <w:start w:val="1"/>
      <w:numFmt w:val="bullet"/>
      <w:lvlText w:val="o"/>
      <w:lvlJc w:val="left"/>
      <w:pPr>
        <w:ind w:left="3600" w:hanging="360"/>
      </w:pPr>
      <w:rPr>
        <w:rFonts w:ascii="Courier New" w:hAnsi="Courier New" w:hint="default"/>
      </w:rPr>
    </w:lvl>
    <w:lvl w:ilvl="5" w:tplc="BAFA907A">
      <w:start w:val="1"/>
      <w:numFmt w:val="bullet"/>
      <w:lvlText w:val=""/>
      <w:lvlJc w:val="left"/>
      <w:pPr>
        <w:ind w:left="4320" w:hanging="360"/>
      </w:pPr>
      <w:rPr>
        <w:rFonts w:ascii="Wingdings" w:hAnsi="Wingdings" w:hint="default"/>
      </w:rPr>
    </w:lvl>
    <w:lvl w:ilvl="6" w:tplc="072ED946">
      <w:start w:val="1"/>
      <w:numFmt w:val="bullet"/>
      <w:lvlText w:val=""/>
      <w:lvlJc w:val="left"/>
      <w:pPr>
        <w:ind w:left="5040" w:hanging="360"/>
      </w:pPr>
      <w:rPr>
        <w:rFonts w:ascii="Symbol" w:hAnsi="Symbol" w:hint="default"/>
      </w:rPr>
    </w:lvl>
    <w:lvl w:ilvl="7" w:tplc="0CCE8496">
      <w:start w:val="1"/>
      <w:numFmt w:val="bullet"/>
      <w:lvlText w:val="o"/>
      <w:lvlJc w:val="left"/>
      <w:pPr>
        <w:ind w:left="5760" w:hanging="360"/>
      </w:pPr>
      <w:rPr>
        <w:rFonts w:ascii="Courier New" w:hAnsi="Courier New" w:hint="default"/>
      </w:rPr>
    </w:lvl>
    <w:lvl w:ilvl="8" w:tplc="DBC223CE">
      <w:start w:val="1"/>
      <w:numFmt w:val="bullet"/>
      <w:lvlText w:val=""/>
      <w:lvlJc w:val="left"/>
      <w:pPr>
        <w:ind w:left="6480" w:hanging="360"/>
      </w:pPr>
      <w:rPr>
        <w:rFonts w:ascii="Wingdings" w:hAnsi="Wingdings" w:hint="default"/>
      </w:rPr>
    </w:lvl>
  </w:abstractNum>
  <w:abstractNum w:abstractNumId="1" w15:restartNumberingAfterBreak="0">
    <w:nsid w:val="024CF4B4"/>
    <w:multiLevelType w:val="hybridMultilevel"/>
    <w:tmpl w:val="FFFFFFFF"/>
    <w:lvl w:ilvl="0" w:tplc="5C908B92">
      <w:start w:val="1"/>
      <w:numFmt w:val="lowerLetter"/>
      <w:lvlText w:val="%1."/>
      <w:lvlJc w:val="left"/>
      <w:pPr>
        <w:ind w:left="720" w:hanging="360"/>
      </w:pPr>
    </w:lvl>
    <w:lvl w:ilvl="1" w:tplc="CFEE8D72">
      <w:start w:val="1"/>
      <w:numFmt w:val="lowerLetter"/>
      <w:lvlText w:val="%2."/>
      <w:lvlJc w:val="left"/>
      <w:pPr>
        <w:ind w:left="1440" w:hanging="360"/>
      </w:pPr>
    </w:lvl>
    <w:lvl w:ilvl="2" w:tplc="F27E629A">
      <w:start w:val="1"/>
      <w:numFmt w:val="lowerRoman"/>
      <w:lvlText w:val="%3."/>
      <w:lvlJc w:val="right"/>
      <w:pPr>
        <w:ind w:left="2160" w:hanging="180"/>
      </w:pPr>
    </w:lvl>
    <w:lvl w:ilvl="3" w:tplc="3880D2E4">
      <w:start w:val="1"/>
      <w:numFmt w:val="decimal"/>
      <w:lvlText w:val="%4."/>
      <w:lvlJc w:val="left"/>
      <w:pPr>
        <w:ind w:left="2880" w:hanging="360"/>
      </w:pPr>
    </w:lvl>
    <w:lvl w:ilvl="4" w:tplc="FF7826E4">
      <w:start w:val="1"/>
      <w:numFmt w:val="lowerLetter"/>
      <w:lvlText w:val="%5."/>
      <w:lvlJc w:val="left"/>
      <w:pPr>
        <w:ind w:left="3600" w:hanging="360"/>
      </w:pPr>
    </w:lvl>
    <w:lvl w:ilvl="5" w:tplc="56B4B240">
      <w:start w:val="1"/>
      <w:numFmt w:val="lowerRoman"/>
      <w:lvlText w:val="%6."/>
      <w:lvlJc w:val="right"/>
      <w:pPr>
        <w:ind w:left="4320" w:hanging="180"/>
      </w:pPr>
    </w:lvl>
    <w:lvl w:ilvl="6" w:tplc="EC4005E2">
      <w:start w:val="1"/>
      <w:numFmt w:val="decimal"/>
      <w:lvlText w:val="%7."/>
      <w:lvlJc w:val="left"/>
      <w:pPr>
        <w:ind w:left="5040" w:hanging="360"/>
      </w:pPr>
    </w:lvl>
    <w:lvl w:ilvl="7" w:tplc="316C51A0">
      <w:start w:val="1"/>
      <w:numFmt w:val="lowerLetter"/>
      <w:lvlText w:val="%8."/>
      <w:lvlJc w:val="left"/>
      <w:pPr>
        <w:ind w:left="5760" w:hanging="360"/>
      </w:pPr>
    </w:lvl>
    <w:lvl w:ilvl="8" w:tplc="F1807D46">
      <w:start w:val="1"/>
      <w:numFmt w:val="lowerRoman"/>
      <w:lvlText w:val="%9."/>
      <w:lvlJc w:val="right"/>
      <w:pPr>
        <w:ind w:left="6480" w:hanging="180"/>
      </w:pPr>
    </w:lvl>
  </w:abstractNum>
  <w:abstractNum w:abstractNumId="2" w15:restartNumberingAfterBreak="0">
    <w:nsid w:val="03045271"/>
    <w:multiLevelType w:val="hybridMultilevel"/>
    <w:tmpl w:val="FFFFFFFF"/>
    <w:lvl w:ilvl="0" w:tplc="B436F5D2">
      <w:start w:val="1"/>
      <w:numFmt w:val="bullet"/>
      <w:lvlText w:val="·"/>
      <w:lvlJc w:val="left"/>
      <w:pPr>
        <w:ind w:left="720" w:hanging="360"/>
      </w:pPr>
      <w:rPr>
        <w:rFonts w:ascii="Symbol" w:hAnsi="Symbol" w:hint="default"/>
      </w:rPr>
    </w:lvl>
    <w:lvl w:ilvl="1" w:tplc="2A6A91C8">
      <w:start w:val="1"/>
      <w:numFmt w:val="bullet"/>
      <w:lvlText w:val="o"/>
      <w:lvlJc w:val="left"/>
      <w:pPr>
        <w:ind w:left="1440" w:hanging="360"/>
      </w:pPr>
      <w:rPr>
        <w:rFonts w:ascii="Courier New" w:hAnsi="Courier New" w:hint="default"/>
      </w:rPr>
    </w:lvl>
    <w:lvl w:ilvl="2" w:tplc="0B9CC088">
      <w:start w:val="1"/>
      <w:numFmt w:val="bullet"/>
      <w:lvlText w:val=""/>
      <w:lvlJc w:val="left"/>
      <w:pPr>
        <w:ind w:left="2160" w:hanging="360"/>
      </w:pPr>
      <w:rPr>
        <w:rFonts w:ascii="Wingdings" w:hAnsi="Wingdings" w:hint="default"/>
      </w:rPr>
    </w:lvl>
    <w:lvl w:ilvl="3" w:tplc="CEC4CF9E">
      <w:start w:val="1"/>
      <w:numFmt w:val="bullet"/>
      <w:lvlText w:val=""/>
      <w:lvlJc w:val="left"/>
      <w:pPr>
        <w:ind w:left="2880" w:hanging="360"/>
      </w:pPr>
      <w:rPr>
        <w:rFonts w:ascii="Symbol" w:hAnsi="Symbol" w:hint="default"/>
      </w:rPr>
    </w:lvl>
    <w:lvl w:ilvl="4" w:tplc="82E04622">
      <w:start w:val="1"/>
      <w:numFmt w:val="bullet"/>
      <w:lvlText w:val="o"/>
      <w:lvlJc w:val="left"/>
      <w:pPr>
        <w:ind w:left="3600" w:hanging="360"/>
      </w:pPr>
      <w:rPr>
        <w:rFonts w:ascii="Courier New" w:hAnsi="Courier New" w:hint="default"/>
      </w:rPr>
    </w:lvl>
    <w:lvl w:ilvl="5" w:tplc="17767AF0">
      <w:start w:val="1"/>
      <w:numFmt w:val="bullet"/>
      <w:lvlText w:val=""/>
      <w:lvlJc w:val="left"/>
      <w:pPr>
        <w:ind w:left="4320" w:hanging="360"/>
      </w:pPr>
      <w:rPr>
        <w:rFonts w:ascii="Wingdings" w:hAnsi="Wingdings" w:hint="default"/>
      </w:rPr>
    </w:lvl>
    <w:lvl w:ilvl="6" w:tplc="CF36CD9A">
      <w:start w:val="1"/>
      <w:numFmt w:val="bullet"/>
      <w:lvlText w:val=""/>
      <w:lvlJc w:val="left"/>
      <w:pPr>
        <w:ind w:left="5040" w:hanging="360"/>
      </w:pPr>
      <w:rPr>
        <w:rFonts w:ascii="Symbol" w:hAnsi="Symbol" w:hint="default"/>
      </w:rPr>
    </w:lvl>
    <w:lvl w:ilvl="7" w:tplc="3BF6D89A">
      <w:start w:val="1"/>
      <w:numFmt w:val="bullet"/>
      <w:lvlText w:val="o"/>
      <w:lvlJc w:val="left"/>
      <w:pPr>
        <w:ind w:left="5760" w:hanging="360"/>
      </w:pPr>
      <w:rPr>
        <w:rFonts w:ascii="Courier New" w:hAnsi="Courier New" w:hint="default"/>
      </w:rPr>
    </w:lvl>
    <w:lvl w:ilvl="8" w:tplc="4DB804E0">
      <w:start w:val="1"/>
      <w:numFmt w:val="bullet"/>
      <w:lvlText w:val=""/>
      <w:lvlJc w:val="left"/>
      <w:pPr>
        <w:ind w:left="6480" w:hanging="360"/>
      </w:pPr>
      <w:rPr>
        <w:rFonts w:ascii="Wingdings" w:hAnsi="Wingdings" w:hint="default"/>
      </w:rPr>
    </w:lvl>
  </w:abstractNum>
  <w:abstractNum w:abstractNumId="3" w15:restartNumberingAfterBreak="0">
    <w:nsid w:val="0EC28D76"/>
    <w:multiLevelType w:val="hybridMultilevel"/>
    <w:tmpl w:val="FFFFFFFF"/>
    <w:lvl w:ilvl="0" w:tplc="50B0FF5A">
      <w:start w:val="1"/>
      <w:numFmt w:val="bullet"/>
      <w:lvlText w:val="-"/>
      <w:lvlJc w:val="left"/>
      <w:pPr>
        <w:ind w:left="720" w:hanging="360"/>
      </w:pPr>
      <w:rPr>
        <w:rFonts w:ascii="&quot;Calibri Light&quot;,sans-serif" w:hAnsi="&quot;Calibri Light&quot;,sans-serif" w:hint="default"/>
      </w:rPr>
    </w:lvl>
    <w:lvl w:ilvl="1" w:tplc="EEC0EC1A">
      <w:start w:val="1"/>
      <w:numFmt w:val="bullet"/>
      <w:lvlText w:val="o"/>
      <w:lvlJc w:val="left"/>
      <w:pPr>
        <w:ind w:left="1440" w:hanging="360"/>
      </w:pPr>
      <w:rPr>
        <w:rFonts w:ascii="Courier New" w:hAnsi="Courier New" w:hint="default"/>
      </w:rPr>
    </w:lvl>
    <w:lvl w:ilvl="2" w:tplc="209457E8">
      <w:start w:val="1"/>
      <w:numFmt w:val="bullet"/>
      <w:lvlText w:val=""/>
      <w:lvlJc w:val="left"/>
      <w:pPr>
        <w:ind w:left="2160" w:hanging="360"/>
      </w:pPr>
      <w:rPr>
        <w:rFonts w:ascii="Wingdings" w:hAnsi="Wingdings" w:hint="default"/>
      </w:rPr>
    </w:lvl>
    <w:lvl w:ilvl="3" w:tplc="EB2CABC4">
      <w:start w:val="1"/>
      <w:numFmt w:val="bullet"/>
      <w:lvlText w:val=""/>
      <w:lvlJc w:val="left"/>
      <w:pPr>
        <w:ind w:left="2880" w:hanging="360"/>
      </w:pPr>
      <w:rPr>
        <w:rFonts w:ascii="Symbol" w:hAnsi="Symbol" w:hint="default"/>
      </w:rPr>
    </w:lvl>
    <w:lvl w:ilvl="4" w:tplc="EC924C9A">
      <w:start w:val="1"/>
      <w:numFmt w:val="bullet"/>
      <w:lvlText w:val="o"/>
      <w:lvlJc w:val="left"/>
      <w:pPr>
        <w:ind w:left="3600" w:hanging="360"/>
      </w:pPr>
      <w:rPr>
        <w:rFonts w:ascii="Courier New" w:hAnsi="Courier New" w:hint="default"/>
      </w:rPr>
    </w:lvl>
    <w:lvl w:ilvl="5" w:tplc="33B2C532">
      <w:start w:val="1"/>
      <w:numFmt w:val="bullet"/>
      <w:lvlText w:val=""/>
      <w:lvlJc w:val="left"/>
      <w:pPr>
        <w:ind w:left="4320" w:hanging="360"/>
      </w:pPr>
      <w:rPr>
        <w:rFonts w:ascii="Wingdings" w:hAnsi="Wingdings" w:hint="default"/>
      </w:rPr>
    </w:lvl>
    <w:lvl w:ilvl="6" w:tplc="AFCA5C9A">
      <w:start w:val="1"/>
      <w:numFmt w:val="bullet"/>
      <w:lvlText w:val=""/>
      <w:lvlJc w:val="left"/>
      <w:pPr>
        <w:ind w:left="5040" w:hanging="360"/>
      </w:pPr>
      <w:rPr>
        <w:rFonts w:ascii="Symbol" w:hAnsi="Symbol" w:hint="default"/>
      </w:rPr>
    </w:lvl>
    <w:lvl w:ilvl="7" w:tplc="0EFE704E">
      <w:start w:val="1"/>
      <w:numFmt w:val="bullet"/>
      <w:lvlText w:val="o"/>
      <w:lvlJc w:val="left"/>
      <w:pPr>
        <w:ind w:left="5760" w:hanging="360"/>
      </w:pPr>
      <w:rPr>
        <w:rFonts w:ascii="Courier New" w:hAnsi="Courier New" w:hint="default"/>
      </w:rPr>
    </w:lvl>
    <w:lvl w:ilvl="8" w:tplc="CCBCCB4A">
      <w:start w:val="1"/>
      <w:numFmt w:val="bullet"/>
      <w:lvlText w:val=""/>
      <w:lvlJc w:val="left"/>
      <w:pPr>
        <w:ind w:left="6480" w:hanging="360"/>
      </w:pPr>
      <w:rPr>
        <w:rFonts w:ascii="Wingdings" w:hAnsi="Wingdings" w:hint="default"/>
      </w:rPr>
    </w:lvl>
  </w:abstractNum>
  <w:abstractNum w:abstractNumId="4" w15:restartNumberingAfterBreak="0">
    <w:nsid w:val="0EDC6A4B"/>
    <w:multiLevelType w:val="hybridMultilevel"/>
    <w:tmpl w:val="FFFFFFFF"/>
    <w:lvl w:ilvl="0" w:tplc="E8E09E6C">
      <w:start w:val="1"/>
      <w:numFmt w:val="bullet"/>
      <w:lvlText w:val="·"/>
      <w:lvlJc w:val="left"/>
      <w:pPr>
        <w:ind w:left="720" w:hanging="360"/>
      </w:pPr>
      <w:rPr>
        <w:rFonts w:ascii="Symbol" w:hAnsi="Symbol" w:hint="default"/>
      </w:rPr>
    </w:lvl>
    <w:lvl w:ilvl="1" w:tplc="27D0B2C0">
      <w:start w:val="1"/>
      <w:numFmt w:val="bullet"/>
      <w:lvlText w:val="o"/>
      <w:lvlJc w:val="left"/>
      <w:pPr>
        <w:ind w:left="1440" w:hanging="360"/>
      </w:pPr>
      <w:rPr>
        <w:rFonts w:ascii="Courier New" w:hAnsi="Courier New" w:hint="default"/>
      </w:rPr>
    </w:lvl>
    <w:lvl w:ilvl="2" w:tplc="FE08FDCA">
      <w:start w:val="1"/>
      <w:numFmt w:val="bullet"/>
      <w:lvlText w:val=""/>
      <w:lvlJc w:val="left"/>
      <w:pPr>
        <w:ind w:left="2160" w:hanging="360"/>
      </w:pPr>
      <w:rPr>
        <w:rFonts w:ascii="Wingdings" w:hAnsi="Wingdings" w:hint="default"/>
      </w:rPr>
    </w:lvl>
    <w:lvl w:ilvl="3" w:tplc="C6CAA9E4">
      <w:start w:val="1"/>
      <w:numFmt w:val="bullet"/>
      <w:lvlText w:val=""/>
      <w:lvlJc w:val="left"/>
      <w:pPr>
        <w:ind w:left="2880" w:hanging="360"/>
      </w:pPr>
      <w:rPr>
        <w:rFonts w:ascii="Symbol" w:hAnsi="Symbol" w:hint="default"/>
      </w:rPr>
    </w:lvl>
    <w:lvl w:ilvl="4" w:tplc="3654B5B6">
      <w:start w:val="1"/>
      <w:numFmt w:val="bullet"/>
      <w:lvlText w:val="o"/>
      <w:lvlJc w:val="left"/>
      <w:pPr>
        <w:ind w:left="3600" w:hanging="360"/>
      </w:pPr>
      <w:rPr>
        <w:rFonts w:ascii="Courier New" w:hAnsi="Courier New" w:hint="default"/>
      </w:rPr>
    </w:lvl>
    <w:lvl w:ilvl="5" w:tplc="BC187A14">
      <w:start w:val="1"/>
      <w:numFmt w:val="bullet"/>
      <w:lvlText w:val=""/>
      <w:lvlJc w:val="left"/>
      <w:pPr>
        <w:ind w:left="4320" w:hanging="360"/>
      </w:pPr>
      <w:rPr>
        <w:rFonts w:ascii="Wingdings" w:hAnsi="Wingdings" w:hint="default"/>
      </w:rPr>
    </w:lvl>
    <w:lvl w:ilvl="6" w:tplc="BB9CC906">
      <w:start w:val="1"/>
      <w:numFmt w:val="bullet"/>
      <w:lvlText w:val=""/>
      <w:lvlJc w:val="left"/>
      <w:pPr>
        <w:ind w:left="5040" w:hanging="360"/>
      </w:pPr>
      <w:rPr>
        <w:rFonts w:ascii="Symbol" w:hAnsi="Symbol" w:hint="default"/>
      </w:rPr>
    </w:lvl>
    <w:lvl w:ilvl="7" w:tplc="93EAF468">
      <w:start w:val="1"/>
      <w:numFmt w:val="bullet"/>
      <w:lvlText w:val="o"/>
      <w:lvlJc w:val="left"/>
      <w:pPr>
        <w:ind w:left="5760" w:hanging="360"/>
      </w:pPr>
      <w:rPr>
        <w:rFonts w:ascii="Courier New" w:hAnsi="Courier New" w:hint="default"/>
      </w:rPr>
    </w:lvl>
    <w:lvl w:ilvl="8" w:tplc="D986A488">
      <w:start w:val="1"/>
      <w:numFmt w:val="bullet"/>
      <w:lvlText w:val=""/>
      <w:lvlJc w:val="left"/>
      <w:pPr>
        <w:ind w:left="6480" w:hanging="360"/>
      </w:pPr>
      <w:rPr>
        <w:rFonts w:ascii="Wingdings" w:hAnsi="Wingdings" w:hint="default"/>
      </w:rPr>
    </w:lvl>
  </w:abstractNum>
  <w:abstractNum w:abstractNumId="5" w15:restartNumberingAfterBreak="0">
    <w:nsid w:val="12A9E8A0"/>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lowerLetter"/>
      <w:lvlText w:val="%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318269F"/>
    <w:multiLevelType w:val="hybridMultilevel"/>
    <w:tmpl w:val="FFFFFFFF"/>
    <w:lvl w:ilvl="0" w:tplc="D79E5994">
      <w:start w:val="1"/>
      <w:numFmt w:val="bullet"/>
      <w:lvlText w:val="·"/>
      <w:lvlJc w:val="left"/>
      <w:pPr>
        <w:ind w:left="720" w:hanging="360"/>
      </w:pPr>
      <w:rPr>
        <w:rFonts w:ascii="Symbol" w:hAnsi="Symbol" w:hint="default"/>
      </w:rPr>
    </w:lvl>
    <w:lvl w:ilvl="1" w:tplc="0E726DC8">
      <w:start w:val="1"/>
      <w:numFmt w:val="bullet"/>
      <w:lvlText w:val="o"/>
      <w:lvlJc w:val="left"/>
      <w:pPr>
        <w:ind w:left="1440" w:hanging="360"/>
      </w:pPr>
      <w:rPr>
        <w:rFonts w:ascii="Courier New" w:hAnsi="Courier New" w:hint="default"/>
      </w:rPr>
    </w:lvl>
    <w:lvl w:ilvl="2" w:tplc="03ECB056">
      <w:start w:val="1"/>
      <w:numFmt w:val="bullet"/>
      <w:lvlText w:val=""/>
      <w:lvlJc w:val="left"/>
      <w:pPr>
        <w:ind w:left="2160" w:hanging="360"/>
      </w:pPr>
      <w:rPr>
        <w:rFonts w:ascii="Wingdings" w:hAnsi="Wingdings" w:hint="default"/>
      </w:rPr>
    </w:lvl>
    <w:lvl w:ilvl="3" w:tplc="70D86F70">
      <w:start w:val="1"/>
      <w:numFmt w:val="bullet"/>
      <w:lvlText w:val=""/>
      <w:lvlJc w:val="left"/>
      <w:pPr>
        <w:ind w:left="2880" w:hanging="360"/>
      </w:pPr>
      <w:rPr>
        <w:rFonts w:ascii="Symbol" w:hAnsi="Symbol" w:hint="default"/>
      </w:rPr>
    </w:lvl>
    <w:lvl w:ilvl="4" w:tplc="B1DCFAC6">
      <w:start w:val="1"/>
      <w:numFmt w:val="bullet"/>
      <w:lvlText w:val="o"/>
      <w:lvlJc w:val="left"/>
      <w:pPr>
        <w:ind w:left="3600" w:hanging="360"/>
      </w:pPr>
      <w:rPr>
        <w:rFonts w:ascii="Courier New" w:hAnsi="Courier New" w:hint="default"/>
      </w:rPr>
    </w:lvl>
    <w:lvl w:ilvl="5" w:tplc="2AE88646">
      <w:start w:val="1"/>
      <w:numFmt w:val="bullet"/>
      <w:lvlText w:val=""/>
      <w:lvlJc w:val="left"/>
      <w:pPr>
        <w:ind w:left="4320" w:hanging="360"/>
      </w:pPr>
      <w:rPr>
        <w:rFonts w:ascii="Wingdings" w:hAnsi="Wingdings" w:hint="default"/>
      </w:rPr>
    </w:lvl>
    <w:lvl w:ilvl="6" w:tplc="C7AC88E6">
      <w:start w:val="1"/>
      <w:numFmt w:val="bullet"/>
      <w:lvlText w:val=""/>
      <w:lvlJc w:val="left"/>
      <w:pPr>
        <w:ind w:left="5040" w:hanging="360"/>
      </w:pPr>
      <w:rPr>
        <w:rFonts w:ascii="Symbol" w:hAnsi="Symbol" w:hint="default"/>
      </w:rPr>
    </w:lvl>
    <w:lvl w:ilvl="7" w:tplc="6A7CA41E">
      <w:start w:val="1"/>
      <w:numFmt w:val="bullet"/>
      <w:lvlText w:val="o"/>
      <w:lvlJc w:val="left"/>
      <w:pPr>
        <w:ind w:left="5760" w:hanging="360"/>
      </w:pPr>
      <w:rPr>
        <w:rFonts w:ascii="Courier New" w:hAnsi="Courier New" w:hint="default"/>
      </w:rPr>
    </w:lvl>
    <w:lvl w:ilvl="8" w:tplc="A314D098">
      <w:start w:val="1"/>
      <w:numFmt w:val="bullet"/>
      <w:lvlText w:val=""/>
      <w:lvlJc w:val="left"/>
      <w:pPr>
        <w:ind w:left="6480" w:hanging="360"/>
      </w:pPr>
      <w:rPr>
        <w:rFonts w:ascii="Wingdings" w:hAnsi="Wingdings" w:hint="default"/>
      </w:rPr>
    </w:lvl>
  </w:abstractNum>
  <w:abstractNum w:abstractNumId="7" w15:restartNumberingAfterBreak="0">
    <w:nsid w:val="14C5807F"/>
    <w:multiLevelType w:val="hybridMultilevel"/>
    <w:tmpl w:val="FFFFFFFF"/>
    <w:lvl w:ilvl="0" w:tplc="CD46ADAE">
      <w:start w:val="1"/>
      <w:numFmt w:val="bullet"/>
      <w:lvlText w:val="·"/>
      <w:lvlJc w:val="left"/>
      <w:pPr>
        <w:ind w:left="720" w:hanging="360"/>
      </w:pPr>
      <w:rPr>
        <w:rFonts w:ascii="Symbol" w:hAnsi="Symbol" w:hint="default"/>
      </w:rPr>
    </w:lvl>
    <w:lvl w:ilvl="1" w:tplc="995CC4F2">
      <w:start w:val="1"/>
      <w:numFmt w:val="bullet"/>
      <w:lvlText w:val="o"/>
      <w:lvlJc w:val="left"/>
      <w:pPr>
        <w:ind w:left="1440" w:hanging="360"/>
      </w:pPr>
      <w:rPr>
        <w:rFonts w:ascii="Symbol" w:hAnsi="Symbol" w:hint="default"/>
      </w:rPr>
    </w:lvl>
    <w:lvl w:ilvl="2" w:tplc="FF16BA4E">
      <w:start w:val="1"/>
      <w:numFmt w:val="bullet"/>
      <w:lvlText w:val=""/>
      <w:lvlJc w:val="left"/>
      <w:pPr>
        <w:ind w:left="2160" w:hanging="360"/>
      </w:pPr>
      <w:rPr>
        <w:rFonts w:ascii="Wingdings" w:hAnsi="Wingdings" w:hint="default"/>
      </w:rPr>
    </w:lvl>
    <w:lvl w:ilvl="3" w:tplc="F364FAEA">
      <w:start w:val="1"/>
      <w:numFmt w:val="bullet"/>
      <w:lvlText w:val=""/>
      <w:lvlJc w:val="left"/>
      <w:pPr>
        <w:ind w:left="2880" w:hanging="360"/>
      </w:pPr>
      <w:rPr>
        <w:rFonts w:ascii="Symbol" w:hAnsi="Symbol" w:hint="default"/>
      </w:rPr>
    </w:lvl>
    <w:lvl w:ilvl="4" w:tplc="8B14299A">
      <w:start w:val="1"/>
      <w:numFmt w:val="bullet"/>
      <w:lvlText w:val="o"/>
      <w:lvlJc w:val="left"/>
      <w:pPr>
        <w:ind w:left="3600" w:hanging="360"/>
      </w:pPr>
      <w:rPr>
        <w:rFonts w:ascii="Courier New" w:hAnsi="Courier New" w:hint="default"/>
      </w:rPr>
    </w:lvl>
    <w:lvl w:ilvl="5" w:tplc="87BEF9F0">
      <w:start w:val="1"/>
      <w:numFmt w:val="bullet"/>
      <w:lvlText w:val=""/>
      <w:lvlJc w:val="left"/>
      <w:pPr>
        <w:ind w:left="4320" w:hanging="360"/>
      </w:pPr>
      <w:rPr>
        <w:rFonts w:ascii="Wingdings" w:hAnsi="Wingdings" w:hint="default"/>
      </w:rPr>
    </w:lvl>
    <w:lvl w:ilvl="6" w:tplc="F4F27062">
      <w:start w:val="1"/>
      <w:numFmt w:val="bullet"/>
      <w:lvlText w:val=""/>
      <w:lvlJc w:val="left"/>
      <w:pPr>
        <w:ind w:left="5040" w:hanging="360"/>
      </w:pPr>
      <w:rPr>
        <w:rFonts w:ascii="Symbol" w:hAnsi="Symbol" w:hint="default"/>
      </w:rPr>
    </w:lvl>
    <w:lvl w:ilvl="7" w:tplc="C4128826">
      <w:start w:val="1"/>
      <w:numFmt w:val="bullet"/>
      <w:lvlText w:val="o"/>
      <w:lvlJc w:val="left"/>
      <w:pPr>
        <w:ind w:left="5760" w:hanging="360"/>
      </w:pPr>
      <w:rPr>
        <w:rFonts w:ascii="Courier New" w:hAnsi="Courier New" w:hint="default"/>
      </w:rPr>
    </w:lvl>
    <w:lvl w:ilvl="8" w:tplc="95E26E22">
      <w:start w:val="1"/>
      <w:numFmt w:val="bullet"/>
      <w:lvlText w:val=""/>
      <w:lvlJc w:val="left"/>
      <w:pPr>
        <w:ind w:left="6480" w:hanging="360"/>
      </w:pPr>
      <w:rPr>
        <w:rFonts w:ascii="Wingdings" w:hAnsi="Wingdings" w:hint="default"/>
      </w:rPr>
    </w:lvl>
  </w:abstractNum>
  <w:abstractNum w:abstractNumId="8" w15:restartNumberingAfterBreak="0">
    <w:nsid w:val="17B0DBD6"/>
    <w:multiLevelType w:val="hybridMultilevel"/>
    <w:tmpl w:val="FFFFFFFF"/>
    <w:lvl w:ilvl="0" w:tplc="F9804FB4">
      <w:start w:val="1"/>
      <w:numFmt w:val="lowerLetter"/>
      <w:lvlText w:val="%1."/>
      <w:lvlJc w:val="left"/>
      <w:pPr>
        <w:ind w:left="720" w:hanging="360"/>
      </w:pPr>
    </w:lvl>
    <w:lvl w:ilvl="1" w:tplc="09F8F04E">
      <w:start w:val="1"/>
      <w:numFmt w:val="lowerLetter"/>
      <w:lvlText w:val="%2."/>
      <w:lvlJc w:val="left"/>
      <w:pPr>
        <w:ind w:left="1440" w:hanging="360"/>
      </w:pPr>
    </w:lvl>
    <w:lvl w:ilvl="2" w:tplc="871E0B7E">
      <w:start w:val="1"/>
      <w:numFmt w:val="lowerRoman"/>
      <w:lvlText w:val="%3."/>
      <w:lvlJc w:val="right"/>
      <w:pPr>
        <w:ind w:left="2160" w:hanging="180"/>
      </w:pPr>
    </w:lvl>
    <w:lvl w:ilvl="3" w:tplc="478C206A">
      <w:start w:val="1"/>
      <w:numFmt w:val="decimal"/>
      <w:lvlText w:val="%4."/>
      <w:lvlJc w:val="left"/>
      <w:pPr>
        <w:ind w:left="2880" w:hanging="360"/>
      </w:pPr>
    </w:lvl>
    <w:lvl w:ilvl="4" w:tplc="EF9AAD64">
      <w:start w:val="1"/>
      <w:numFmt w:val="lowerLetter"/>
      <w:lvlText w:val="%5."/>
      <w:lvlJc w:val="left"/>
      <w:pPr>
        <w:ind w:left="3600" w:hanging="360"/>
      </w:pPr>
    </w:lvl>
    <w:lvl w:ilvl="5" w:tplc="41E09640">
      <w:start w:val="1"/>
      <w:numFmt w:val="lowerRoman"/>
      <w:lvlText w:val="%6."/>
      <w:lvlJc w:val="right"/>
      <w:pPr>
        <w:ind w:left="4320" w:hanging="180"/>
      </w:pPr>
    </w:lvl>
    <w:lvl w:ilvl="6" w:tplc="ADAE6BF0">
      <w:start w:val="1"/>
      <w:numFmt w:val="decimal"/>
      <w:lvlText w:val="%7."/>
      <w:lvlJc w:val="left"/>
      <w:pPr>
        <w:ind w:left="5040" w:hanging="360"/>
      </w:pPr>
    </w:lvl>
    <w:lvl w:ilvl="7" w:tplc="38C076F8">
      <w:start w:val="1"/>
      <w:numFmt w:val="lowerLetter"/>
      <w:lvlText w:val="%8."/>
      <w:lvlJc w:val="left"/>
      <w:pPr>
        <w:ind w:left="5760" w:hanging="360"/>
      </w:pPr>
    </w:lvl>
    <w:lvl w:ilvl="8" w:tplc="85CEB4CC">
      <w:start w:val="1"/>
      <w:numFmt w:val="lowerRoman"/>
      <w:lvlText w:val="%9."/>
      <w:lvlJc w:val="right"/>
      <w:pPr>
        <w:ind w:left="6480" w:hanging="180"/>
      </w:pPr>
    </w:lvl>
  </w:abstractNum>
  <w:abstractNum w:abstractNumId="9" w15:restartNumberingAfterBreak="0">
    <w:nsid w:val="2818C3A1"/>
    <w:multiLevelType w:val="hybridMultilevel"/>
    <w:tmpl w:val="FFFFFFFF"/>
    <w:lvl w:ilvl="0" w:tplc="6BDE997C">
      <w:start w:val="1"/>
      <w:numFmt w:val="bullet"/>
      <w:lvlText w:val="·"/>
      <w:lvlJc w:val="left"/>
      <w:pPr>
        <w:ind w:left="720" w:hanging="360"/>
      </w:pPr>
      <w:rPr>
        <w:rFonts w:ascii="Symbol" w:hAnsi="Symbol" w:hint="default"/>
      </w:rPr>
    </w:lvl>
    <w:lvl w:ilvl="1" w:tplc="B7189F22">
      <w:start w:val="1"/>
      <w:numFmt w:val="bullet"/>
      <w:lvlText w:val="o"/>
      <w:lvlJc w:val="left"/>
      <w:pPr>
        <w:ind w:left="1440" w:hanging="360"/>
      </w:pPr>
      <w:rPr>
        <w:rFonts w:ascii="Courier New" w:hAnsi="Courier New" w:hint="default"/>
      </w:rPr>
    </w:lvl>
    <w:lvl w:ilvl="2" w:tplc="7862E1B2">
      <w:start w:val="1"/>
      <w:numFmt w:val="bullet"/>
      <w:lvlText w:val=""/>
      <w:lvlJc w:val="left"/>
      <w:pPr>
        <w:ind w:left="2160" w:hanging="360"/>
      </w:pPr>
      <w:rPr>
        <w:rFonts w:ascii="Wingdings" w:hAnsi="Wingdings" w:hint="default"/>
      </w:rPr>
    </w:lvl>
    <w:lvl w:ilvl="3" w:tplc="0942A056">
      <w:start w:val="1"/>
      <w:numFmt w:val="bullet"/>
      <w:lvlText w:val=""/>
      <w:lvlJc w:val="left"/>
      <w:pPr>
        <w:ind w:left="2880" w:hanging="360"/>
      </w:pPr>
      <w:rPr>
        <w:rFonts w:ascii="Symbol" w:hAnsi="Symbol" w:hint="default"/>
      </w:rPr>
    </w:lvl>
    <w:lvl w:ilvl="4" w:tplc="7534E3FA">
      <w:start w:val="1"/>
      <w:numFmt w:val="bullet"/>
      <w:lvlText w:val="o"/>
      <w:lvlJc w:val="left"/>
      <w:pPr>
        <w:ind w:left="3600" w:hanging="360"/>
      </w:pPr>
      <w:rPr>
        <w:rFonts w:ascii="Courier New" w:hAnsi="Courier New" w:hint="default"/>
      </w:rPr>
    </w:lvl>
    <w:lvl w:ilvl="5" w:tplc="A6E8A6F8">
      <w:start w:val="1"/>
      <w:numFmt w:val="bullet"/>
      <w:lvlText w:val=""/>
      <w:lvlJc w:val="left"/>
      <w:pPr>
        <w:ind w:left="4320" w:hanging="360"/>
      </w:pPr>
      <w:rPr>
        <w:rFonts w:ascii="Wingdings" w:hAnsi="Wingdings" w:hint="default"/>
      </w:rPr>
    </w:lvl>
    <w:lvl w:ilvl="6" w:tplc="00867B88">
      <w:start w:val="1"/>
      <w:numFmt w:val="bullet"/>
      <w:lvlText w:val=""/>
      <w:lvlJc w:val="left"/>
      <w:pPr>
        <w:ind w:left="5040" w:hanging="360"/>
      </w:pPr>
      <w:rPr>
        <w:rFonts w:ascii="Symbol" w:hAnsi="Symbol" w:hint="default"/>
      </w:rPr>
    </w:lvl>
    <w:lvl w:ilvl="7" w:tplc="9B160A96">
      <w:start w:val="1"/>
      <w:numFmt w:val="bullet"/>
      <w:lvlText w:val="o"/>
      <w:lvlJc w:val="left"/>
      <w:pPr>
        <w:ind w:left="5760" w:hanging="360"/>
      </w:pPr>
      <w:rPr>
        <w:rFonts w:ascii="Courier New" w:hAnsi="Courier New" w:hint="default"/>
      </w:rPr>
    </w:lvl>
    <w:lvl w:ilvl="8" w:tplc="829298CA">
      <w:start w:val="1"/>
      <w:numFmt w:val="bullet"/>
      <w:lvlText w:val=""/>
      <w:lvlJc w:val="left"/>
      <w:pPr>
        <w:ind w:left="6480" w:hanging="360"/>
      </w:pPr>
      <w:rPr>
        <w:rFonts w:ascii="Wingdings" w:hAnsi="Wingdings" w:hint="default"/>
      </w:rPr>
    </w:lvl>
  </w:abstractNum>
  <w:abstractNum w:abstractNumId="10" w15:restartNumberingAfterBreak="0">
    <w:nsid w:val="2D5C0114"/>
    <w:multiLevelType w:val="hybridMultilevel"/>
    <w:tmpl w:val="FFFFFFFF"/>
    <w:lvl w:ilvl="0" w:tplc="1EF8897C">
      <w:start w:val="1"/>
      <w:numFmt w:val="bullet"/>
      <w:lvlText w:val="·"/>
      <w:lvlJc w:val="left"/>
      <w:pPr>
        <w:ind w:left="720" w:hanging="360"/>
      </w:pPr>
      <w:rPr>
        <w:rFonts w:ascii="Symbol" w:hAnsi="Symbol" w:hint="default"/>
      </w:rPr>
    </w:lvl>
    <w:lvl w:ilvl="1" w:tplc="FB08F4E2">
      <w:start w:val="1"/>
      <w:numFmt w:val="bullet"/>
      <w:lvlText w:val="o"/>
      <w:lvlJc w:val="left"/>
      <w:pPr>
        <w:ind w:left="1440" w:hanging="360"/>
      </w:pPr>
      <w:rPr>
        <w:rFonts w:ascii="Courier New" w:hAnsi="Courier New" w:hint="default"/>
      </w:rPr>
    </w:lvl>
    <w:lvl w:ilvl="2" w:tplc="42CCF13C">
      <w:start w:val="1"/>
      <w:numFmt w:val="bullet"/>
      <w:lvlText w:val=""/>
      <w:lvlJc w:val="left"/>
      <w:pPr>
        <w:ind w:left="2160" w:hanging="360"/>
      </w:pPr>
      <w:rPr>
        <w:rFonts w:ascii="Wingdings" w:hAnsi="Wingdings" w:hint="default"/>
      </w:rPr>
    </w:lvl>
    <w:lvl w:ilvl="3" w:tplc="3F5ACF82">
      <w:start w:val="1"/>
      <w:numFmt w:val="bullet"/>
      <w:lvlText w:val=""/>
      <w:lvlJc w:val="left"/>
      <w:pPr>
        <w:ind w:left="2880" w:hanging="360"/>
      </w:pPr>
      <w:rPr>
        <w:rFonts w:ascii="Symbol" w:hAnsi="Symbol" w:hint="default"/>
      </w:rPr>
    </w:lvl>
    <w:lvl w:ilvl="4" w:tplc="68FE6A84">
      <w:start w:val="1"/>
      <w:numFmt w:val="bullet"/>
      <w:lvlText w:val="o"/>
      <w:lvlJc w:val="left"/>
      <w:pPr>
        <w:ind w:left="3600" w:hanging="360"/>
      </w:pPr>
      <w:rPr>
        <w:rFonts w:ascii="Courier New" w:hAnsi="Courier New" w:hint="default"/>
      </w:rPr>
    </w:lvl>
    <w:lvl w:ilvl="5" w:tplc="A95E27C0">
      <w:start w:val="1"/>
      <w:numFmt w:val="bullet"/>
      <w:lvlText w:val=""/>
      <w:lvlJc w:val="left"/>
      <w:pPr>
        <w:ind w:left="4320" w:hanging="360"/>
      </w:pPr>
      <w:rPr>
        <w:rFonts w:ascii="Wingdings" w:hAnsi="Wingdings" w:hint="default"/>
      </w:rPr>
    </w:lvl>
    <w:lvl w:ilvl="6" w:tplc="611244CE">
      <w:start w:val="1"/>
      <w:numFmt w:val="bullet"/>
      <w:lvlText w:val=""/>
      <w:lvlJc w:val="left"/>
      <w:pPr>
        <w:ind w:left="5040" w:hanging="360"/>
      </w:pPr>
      <w:rPr>
        <w:rFonts w:ascii="Symbol" w:hAnsi="Symbol" w:hint="default"/>
      </w:rPr>
    </w:lvl>
    <w:lvl w:ilvl="7" w:tplc="E92024CC">
      <w:start w:val="1"/>
      <w:numFmt w:val="bullet"/>
      <w:lvlText w:val="o"/>
      <w:lvlJc w:val="left"/>
      <w:pPr>
        <w:ind w:left="5760" w:hanging="360"/>
      </w:pPr>
      <w:rPr>
        <w:rFonts w:ascii="Courier New" w:hAnsi="Courier New" w:hint="default"/>
      </w:rPr>
    </w:lvl>
    <w:lvl w:ilvl="8" w:tplc="2CD8D698">
      <w:start w:val="1"/>
      <w:numFmt w:val="bullet"/>
      <w:lvlText w:val=""/>
      <w:lvlJc w:val="left"/>
      <w:pPr>
        <w:ind w:left="6480" w:hanging="360"/>
      </w:pPr>
      <w:rPr>
        <w:rFonts w:ascii="Wingdings" w:hAnsi="Wingdings" w:hint="default"/>
      </w:rPr>
    </w:lvl>
  </w:abstractNum>
  <w:abstractNum w:abstractNumId="11" w15:restartNumberingAfterBreak="0">
    <w:nsid w:val="2E9BE10D"/>
    <w:multiLevelType w:val="hybridMultilevel"/>
    <w:tmpl w:val="FFFFFFFF"/>
    <w:lvl w:ilvl="0" w:tplc="B0DEBEB0">
      <w:start w:val="1"/>
      <w:numFmt w:val="bullet"/>
      <w:lvlText w:val="·"/>
      <w:lvlJc w:val="left"/>
      <w:pPr>
        <w:ind w:left="720" w:hanging="360"/>
      </w:pPr>
      <w:rPr>
        <w:rFonts w:ascii="Symbol" w:hAnsi="Symbol" w:hint="default"/>
      </w:rPr>
    </w:lvl>
    <w:lvl w:ilvl="1" w:tplc="1994C15E">
      <w:start w:val="1"/>
      <w:numFmt w:val="bullet"/>
      <w:lvlText w:val="o"/>
      <w:lvlJc w:val="left"/>
      <w:pPr>
        <w:ind w:left="1440" w:hanging="360"/>
      </w:pPr>
      <w:rPr>
        <w:rFonts w:ascii="Courier New" w:hAnsi="Courier New" w:hint="default"/>
      </w:rPr>
    </w:lvl>
    <w:lvl w:ilvl="2" w:tplc="A98CDD4A">
      <w:start w:val="1"/>
      <w:numFmt w:val="bullet"/>
      <w:lvlText w:val=""/>
      <w:lvlJc w:val="left"/>
      <w:pPr>
        <w:ind w:left="2160" w:hanging="360"/>
      </w:pPr>
      <w:rPr>
        <w:rFonts w:ascii="Wingdings" w:hAnsi="Wingdings" w:hint="default"/>
      </w:rPr>
    </w:lvl>
    <w:lvl w:ilvl="3" w:tplc="17C64528">
      <w:start w:val="1"/>
      <w:numFmt w:val="bullet"/>
      <w:lvlText w:val=""/>
      <w:lvlJc w:val="left"/>
      <w:pPr>
        <w:ind w:left="2880" w:hanging="360"/>
      </w:pPr>
      <w:rPr>
        <w:rFonts w:ascii="Symbol" w:hAnsi="Symbol" w:hint="default"/>
      </w:rPr>
    </w:lvl>
    <w:lvl w:ilvl="4" w:tplc="8672290E">
      <w:start w:val="1"/>
      <w:numFmt w:val="bullet"/>
      <w:lvlText w:val="o"/>
      <w:lvlJc w:val="left"/>
      <w:pPr>
        <w:ind w:left="3600" w:hanging="360"/>
      </w:pPr>
      <w:rPr>
        <w:rFonts w:ascii="Courier New" w:hAnsi="Courier New" w:hint="default"/>
      </w:rPr>
    </w:lvl>
    <w:lvl w:ilvl="5" w:tplc="726C0B46">
      <w:start w:val="1"/>
      <w:numFmt w:val="bullet"/>
      <w:lvlText w:val=""/>
      <w:lvlJc w:val="left"/>
      <w:pPr>
        <w:ind w:left="4320" w:hanging="360"/>
      </w:pPr>
      <w:rPr>
        <w:rFonts w:ascii="Wingdings" w:hAnsi="Wingdings" w:hint="default"/>
      </w:rPr>
    </w:lvl>
    <w:lvl w:ilvl="6" w:tplc="F490D17A">
      <w:start w:val="1"/>
      <w:numFmt w:val="bullet"/>
      <w:lvlText w:val=""/>
      <w:lvlJc w:val="left"/>
      <w:pPr>
        <w:ind w:left="5040" w:hanging="360"/>
      </w:pPr>
      <w:rPr>
        <w:rFonts w:ascii="Symbol" w:hAnsi="Symbol" w:hint="default"/>
      </w:rPr>
    </w:lvl>
    <w:lvl w:ilvl="7" w:tplc="B03A32D2">
      <w:start w:val="1"/>
      <w:numFmt w:val="bullet"/>
      <w:lvlText w:val="o"/>
      <w:lvlJc w:val="left"/>
      <w:pPr>
        <w:ind w:left="5760" w:hanging="360"/>
      </w:pPr>
      <w:rPr>
        <w:rFonts w:ascii="Courier New" w:hAnsi="Courier New" w:hint="default"/>
      </w:rPr>
    </w:lvl>
    <w:lvl w:ilvl="8" w:tplc="22125066">
      <w:start w:val="1"/>
      <w:numFmt w:val="bullet"/>
      <w:lvlText w:val=""/>
      <w:lvlJc w:val="left"/>
      <w:pPr>
        <w:ind w:left="6480" w:hanging="360"/>
      </w:pPr>
      <w:rPr>
        <w:rFonts w:ascii="Wingdings" w:hAnsi="Wingdings" w:hint="default"/>
      </w:rPr>
    </w:lvl>
  </w:abstractNum>
  <w:abstractNum w:abstractNumId="12" w15:restartNumberingAfterBreak="0">
    <w:nsid w:val="30641DA3"/>
    <w:multiLevelType w:val="hybridMultilevel"/>
    <w:tmpl w:val="FFFFFFFF"/>
    <w:lvl w:ilvl="0" w:tplc="1194DDEA">
      <w:start w:val="1"/>
      <w:numFmt w:val="bullet"/>
      <w:lvlText w:val="·"/>
      <w:lvlJc w:val="left"/>
      <w:pPr>
        <w:ind w:left="720" w:hanging="360"/>
      </w:pPr>
      <w:rPr>
        <w:rFonts w:ascii="Symbol" w:hAnsi="Symbol" w:hint="default"/>
      </w:rPr>
    </w:lvl>
    <w:lvl w:ilvl="1" w:tplc="F402AB22">
      <w:start w:val="1"/>
      <w:numFmt w:val="bullet"/>
      <w:lvlText w:val="o"/>
      <w:lvlJc w:val="left"/>
      <w:pPr>
        <w:ind w:left="1440" w:hanging="360"/>
      </w:pPr>
      <w:rPr>
        <w:rFonts w:ascii="Courier New" w:hAnsi="Courier New" w:hint="default"/>
      </w:rPr>
    </w:lvl>
    <w:lvl w:ilvl="2" w:tplc="E7044C24">
      <w:start w:val="1"/>
      <w:numFmt w:val="bullet"/>
      <w:lvlText w:val=""/>
      <w:lvlJc w:val="left"/>
      <w:pPr>
        <w:ind w:left="2160" w:hanging="360"/>
      </w:pPr>
      <w:rPr>
        <w:rFonts w:ascii="Wingdings" w:hAnsi="Wingdings" w:hint="default"/>
      </w:rPr>
    </w:lvl>
    <w:lvl w:ilvl="3" w:tplc="8B9E9590">
      <w:start w:val="1"/>
      <w:numFmt w:val="bullet"/>
      <w:lvlText w:val=""/>
      <w:lvlJc w:val="left"/>
      <w:pPr>
        <w:ind w:left="2880" w:hanging="360"/>
      </w:pPr>
      <w:rPr>
        <w:rFonts w:ascii="Symbol" w:hAnsi="Symbol" w:hint="default"/>
      </w:rPr>
    </w:lvl>
    <w:lvl w:ilvl="4" w:tplc="30FA4876">
      <w:start w:val="1"/>
      <w:numFmt w:val="bullet"/>
      <w:lvlText w:val="o"/>
      <w:lvlJc w:val="left"/>
      <w:pPr>
        <w:ind w:left="3600" w:hanging="360"/>
      </w:pPr>
      <w:rPr>
        <w:rFonts w:ascii="Courier New" w:hAnsi="Courier New" w:hint="default"/>
      </w:rPr>
    </w:lvl>
    <w:lvl w:ilvl="5" w:tplc="62F84D26">
      <w:start w:val="1"/>
      <w:numFmt w:val="bullet"/>
      <w:lvlText w:val=""/>
      <w:lvlJc w:val="left"/>
      <w:pPr>
        <w:ind w:left="4320" w:hanging="360"/>
      </w:pPr>
      <w:rPr>
        <w:rFonts w:ascii="Wingdings" w:hAnsi="Wingdings" w:hint="default"/>
      </w:rPr>
    </w:lvl>
    <w:lvl w:ilvl="6" w:tplc="06868DC0">
      <w:start w:val="1"/>
      <w:numFmt w:val="bullet"/>
      <w:lvlText w:val=""/>
      <w:lvlJc w:val="left"/>
      <w:pPr>
        <w:ind w:left="5040" w:hanging="360"/>
      </w:pPr>
      <w:rPr>
        <w:rFonts w:ascii="Symbol" w:hAnsi="Symbol" w:hint="default"/>
      </w:rPr>
    </w:lvl>
    <w:lvl w:ilvl="7" w:tplc="6C5EBB74">
      <w:start w:val="1"/>
      <w:numFmt w:val="bullet"/>
      <w:lvlText w:val="o"/>
      <w:lvlJc w:val="left"/>
      <w:pPr>
        <w:ind w:left="5760" w:hanging="360"/>
      </w:pPr>
      <w:rPr>
        <w:rFonts w:ascii="Courier New" w:hAnsi="Courier New" w:hint="default"/>
      </w:rPr>
    </w:lvl>
    <w:lvl w:ilvl="8" w:tplc="042452AE">
      <w:start w:val="1"/>
      <w:numFmt w:val="bullet"/>
      <w:lvlText w:val=""/>
      <w:lvlJc w:val="left"/>
      <w:pPr>
        <w:ind w:left="6480" w:hanging="360"/>
      </w:pPr>
      <w:rPr>
        <w:rFonts w:ascii="Wingdings" w:hAnsi="Wingdings" w:hint="default"/>
      </w:rPr>
    </w:lvl>
  </w:abstractNum>
  <w:abstractNum w:abstractNumId="13" w15:restartNumberingAfterBreak="0">
    <w:nsid w:val="3A34295A"/>
    <w:multiLevelType w:val="hybridMultilevel"/>
    <w:tmpl w:val="FFFFFFFF"/>
    <w:lvl w:ilvl="0" w:tplc="285E1092">
      <w:start w:val="1"/>
      <w:numFmt w:val="bullet"/>
      <w:lvlText w:val="·"/>
      <w:lvlJc w:val="left"/>
      <w:pPr>
        <w:ind w:left="720" w:hanging="360"/>
      </w:pPr>
      <w:rPr>
        <w:rFonts w:ascii="Symbol" w:hAnsi="Symbol" w:hint="default"/>
      </w:rPr>
    </w:lvl>
    <w:lvl w:ilvl="1" w:tplc="0F2A152A">
      <w:start w:val="1"/>
      <w:numFmt w:val="bullet"/>
      <w:lvlText w:val="o"/>
      <w:lvlJc w:val="left"/>
      <w:pPr>
        <w:ind w:left="1440" w:hanging="360"/>
      </w:pPr>
      <w:rPr>
        <w:rFonts w:ascii="Courier New" w:hAnsi="Courier New" w:hint="default"/>
      </w:rPr>
    </w:lvl>
    <w:lvl w:ilvl="2" w:tplc="63A29F4E">
      <w:start w:val="1"/>
      <w:numFmt w:val="bullet"/>
      <w:lvlText w:val=""/>
      <w:lvlJc w:val="left"/>
      <w:pPr>
        <w:ind w:left="2160" w:hanging="360"/>
      </w:pPr>
      <w:rPr>
        <w:rFonts w:ascii="Wingdings" w:hAnsi="Wingdings" w:hint="default"/>
      </w:rPr>
    </w:lvl>
    <w:lvl w:ilvl="3" w:tplc="F210D6EC">
      <w:start w:val="1"/>
      <w:numFmt w:val="bullet"/>
      <w:lvlText w:val=""/>
      <w:lvlJc w:val="left"/>
      <w:pPr>
        <w:ind w:left="2880" w:hanging="360"/>
      </w:pPr>
      <w:rPr>
        <w:rFonts w:ascii="Symbol" w:hAnsi="Symbol" w:hint="default"/>
      </w:rPr>
    </w:lvl>
    <w:lvl w:ilvl="4" w:tplc="D354D1EC">
      <w:start w:val="1"/>
      <w:numFmt w:val="bullet"/>
      <w:lvlText w:val="o"/>
      <w:lvlJc w:val="left"/>
      <w:pPr>
        <w:ind w:left="3600" w:hanging="360"/>
      </w:pPr>
      <w:rPr>
        <w:rFonts w:ascii="Courier New" w:hAnsi="Courier New" w:hint="default"/>
      </w:rPr>
    </w:lvl>
    <w:lvl w:ilvl="5" w:tplc="FD0E9E24">
      <w:start w:val="1"/>
      <w:numFmt w:val="bullet"/>
      <w:lvlText w:val=""/>
      <w:lvlJc w:val="left"/>
      <w:pPr>
        <w:ind w:left="4320" w:hanging="360"/>
      </w:pPr>
      <w:rPr>
        <w:rFonts w:ascii="Wingdings" w:hAnsi="Wingdings" w:hint="default"/>
      </w:rPr>
    </w:lvl>
    <w:lvl w:ilvl="6" w:tplc="30A6D772">
      <w:start w:val="1"/>
      <w:numFmt w:val="bullet"/>
      <w:lvlText w:val=""/>
      <w:lvlJc w:val="left"/>
      <w:pPr>
        <w:ind w:left="5040" w:hanging="360"/>
      </w:pPr>
      <w:rPr>
        <w:rFonts w:ascii="Symbol" w:hAnsi="Symbol" w:hint="default"/>
      </w:rPr>
    </w:lvl>
    <w:lvl w:ilvl="7" w:tplc="AAF6316C">
      <w:start w:val="1"/>
      <w:numFmt w:val="bullet"/>
      <w:lvlText w:val="o"/>
      <w:lvlJc w:val="left"/>
      <w:pPr>
        <w:ind w:left="5760" w:hanging="360"/>
      </w:pPr>
      <w:rPr>
        <w:rFonts w:ascii="Courier New" w:hAnsi="Courier New" w:hint="default"/>
      </w:rPr>
    </w:lvl>
    <w:lvl w:ilvl="8" w:tplc="86B0A3F6">
      <w:start w:val="1"/>
      <w:numFmt w:val="bullet"/>
      <w:lvlText w:val=""/>
      <w:lvlJc w:val="left"/>
      <w:pPr>
        <w:ind w:left="6480" w:hanging="360"/>
      </w:pPr>
      <w:rPr>
        <w:rFonts w:ascii="Wingdings" w:hAnsi="Wingdings" w:hint="default"/>
      </w:rPr>
    </w:lvl>
  </w:abstractNum>
  <w:abstractNum w:abstractNumId="14" w15:restartNumberingAfterBreak="0">
    <w:nsid w:val="3F9C2FD0"/>
    <w:multiLevelType w:val="hybridMultilevel"/>
    <w:tmpl w:val="FFFFFFFF"/>
    <w:lvl w:ilvl="0" w:tplc="CF7E93B8">
      <w:start w:val="1"/>
      <w:numFmt w:val="bullet"/>
      <w:lvlText w:val="-"/>
      <w:lvlJc w:val="left"/>
      <w:pPr>
        <w:ind w:left="720" w:hanging="360"/>
      </w:pPr>
      <w:rPr>
        <w:rFonts w:ascii="Symbol" w:hAnsi="Symbol" w:hint="default"/>
      </w:rPr>
    </w:lvl>
    <w:lvl w:ilvl="1" w:tplc="8E98E41E">
      <w:start w:val="1"/>
      <w:numFmt w:val="bullet"/>
      <w:lvlText w:val="o"/>
      <w:lvlJc w:val="left"/>
      <w:pPr>
        <w:ind w:left="1440" w:hanging="360"/>
      </w:pPr>
      <w:rPr>
        <w:rFonts w:ascii="Courier New" w:hAnsi="Courier New" w:hint="default"/>
      </w:rPr>
    </w:lvl>
    <w:lvl w:ilvl="2" w:tplc="0E40263A">
      <w:start w:val="1"/>
      <w:numFmt w:val="bullet"/>
      <w:lvlText w:val=""/>
      <w:lvlJc w:val="left"/>
      <w:pPr>
        <w:ind w:left="2160" w:hanging="360"/>
      </w:pPr>
      <w:rPr>
        <w:rFonts w:ascii="Wingdings" w:hAnsi="Wingdings" w:hint="default"/>
      </w:rPr>
    </w:lvl>
    <w:lvl w:ilvl="3" w:tplc="E7A4FE22">
      <w:start w:val="1"/>
      <w:numFmt w:val="bullet"/>
      <w:lvlText w:val=""/>
      <w:lvlJc w:val="left"/>
      <w:pPr>
        <w:ind w:left="2880" w:hanging="360"/>
      </w:pPr>
      <w:rPr>
        <w:rFonts w:ascii="Symbol" w:hAnsi="Symbol" w:hint="default"/>
      </w:rPr>
    </w:lvl>
    <w:lvl w:ilvl="4" w:tplc="13784E3C">
      <w:start w:val="1"/>
      <w:numFmt w:val="bullet"/>
      <w:lvlText w:val="o"/>
      <w:lvlJc w:val="left"/>
      <w:pPr>
        <w:ind w:left="3600" w:hanging="360"/>
      </w:pPr>
      <w:rPr>
        <w:rFonts w:ascii="Courier New" w:hAnsi="Courier New" w:hint="default"/>
      </w:rPr>
    </w:lvl>
    <w:lvl w:ilvl="5" w:tplc="AAA4F592">
      <w:start w:val="1"/>
      <w:numFmt w:val="bullet"/>
      <w:lvlText w:val=""/>
      <w:lvlJc w:val="left"/>
      <w:pPr>
        <w:ind w:left="4320" w:hanging="360"/>
      </w:pPr>
      <w:rPr>
        <w:rFonts w:ascii="Wingdings" w:hAnsi="Wingdings" w:hint="default"/>
      </w:rPr>
    </w:lvl>
    <w:lvl w:ilvl="6" w:tplc="61BC046A">
      <w:start w:val="1"/>
      <w:numFmt w:val="bullet"/>
      <w:lvlText w:val=""/>
      <w:lvlJc w:val="left"/>
      <w:pPr>
        <w:ind w:left="5040" w:hanging="360"/>
      </w:pPr>
      <w:rPr>
        <w:rFonts w:ascii="Symbol" w:hAnsi="Symbol" w:hint="default"/>
      </w:rPr>
    </w:lvl>
    <w:lvl w:ilvl="7" w:tplc="B9E06DA2">
      <w:start w:val="1"/>
      <w:numFmt w:val="bullet"/>
      <w:lvlText w:val="o"/>
      <w:lvlJc w:val="left"/>
      <w:pPr>
        <w:ind w:left="5760" w:hanging="360"/>
      </w:pPr>
      <w:rPr>
        <w:rFonts w:ascii="Courier New" w:hAnsi="Courier New" w:hint="default"/>
      </w:rPr>
    </w:lvl>
    <w:lvl w:ilvl="8" w:tplc="77CC4AFA">
      <w:start w:val="1"/>
      <w:numFmt w:val="bullet"/>
      <w:lvlText w:val=""/>
      <w:lvlJc w:val="left"/>
      <w:pPr>
        <w:ind w:left="6480" w:hanging="360"/>
      </w:pPr>
      <w:rPr>
        <w:rFonts w:ascii="Wingdings" w:hAnsi="Wingdings" w:hint="default"/>
      </w:rPr>
    </w:lvl>
  </w:abstractNum>
  <w:abstractNum w:abstractNumId="15" w15:restartNumberingAfterBreak="0">
    <w:nsid w:val="42506798"/>
    <w:multiLevelType w:val="hybridMultilevel"/>
    <w:tmpl w:val="FFFFFFFF"/>
    <w:lvl w:ilvl="0" w:tplc="A5E008E8">
      <w:start w:val="1"/>
      <w:numFmt w:val="bullet"/>
      <w:lvlText w:val="·"/>
      <w:lvlJc w:val="left"/>
      <w:pPr>
        <w:ind w:left="720" w:hanging="360"/>
      </w:pPr>
      <w:rPr>
        <w:rFonts w:ascii="Symbol" w:hAnsi="Symbol" w:hint="default"/>
      </w:rPr>
    </w:lvl>
    <w:lvl w:ilvl="1" w:tplc="28B65D20">
      <w:start w:val="1"/>
      <w:numFmt w:val="bullet"/>
      <w:lvlText w:val="o"/>
      <w:lvlJc w:val="left"/>
      <w:pPr>
        <w:ind w:left="1440" w:hanging="360"/>
      </w:pPr>
      <w:rPr>
        <w:rFonts w:ascii="Courier New" w:hAnsi="Courier New" w:hint="default"/>
      </w:rPr>
    </w:lvl>
    <w:lvl w:ilvl="2" w:tplc="1D6C355C">
      <w:start w:val="1"/>
      <w:numFmt w:val="bullet"/>
      <w:lvlText w:val=""/>
      <w:lvlJc w:val="left"/>
      <w:pPr>
        <w:ind w:left="2160" w:hanging="360"/>
      </w:pPr>
      <w:rPr>
        <w:rFonts w:ascii="Wingdings" w:hAnsi="Wingdings" w:hint="default"/>
      </w:rPr>
    </w:lvl>
    <w:lvl w:ilvl="3" w:tplc="8BAEFA12">
      <w:start w:val="1"/>
      <w:numFmt w:val="bullet"/>
      <w:lvlText w:val=""/>
      <w:lvlJc w:val="left"/>
      <w:pPr>
        <w:ind w:left="2880" w:hanging="360"/>
      </w:pPr>
      <w:rPr>
        <w:rFonts w:ascii="Symbol" w:hAnsi="Symbol" w:hint="default"/>
      </w:rPr>
    </w:lvl>
    <w:lvl w:ilvl="4" w:tplc="443AF3AA">
      <w:start w:val="1"/>
      <w:numFmt w:val="bullet"/>
      <w:lvlText w:val="o"/>
      <w:lvlJc w:val="left"/>
      <w:pPr>
        <w:ind w:left="3600" w:hanging="360"/>
      </w:pPr>
      <w:rPr>
        <w:rFonts w:ascii="Courier New" w:hAnsi="Courier New" w:hint="default"/>
      </w:rPr>
    </w:lvl>
    <w:lvl w:ilvl="5" w:tplc="564E7A1C">
      <w:start w:val="1"/>
      <w:numFmt w:val="bullet"/>
      <w:lvlText w:val=""/>
      <w:lvlJc w:val="left"/>
      <w:pPr>
        <w:ind w:left="4320" w:hanging="360"/>
      </w:pPr>
      <w:rPr>
        <w:rFonts w:ascii="Wingdings" w:hAnsi="Wingdings" w:hint="default"/>
      </w:rPr>
    </w:lvl>
    <w:lvl w:ilvl="6" w:tplc="F9AA91F4">
      <w:start w:val="1"/>
      <w:numFmt w:val="bullet"/>
      <w:lvlText w:val=""/>
      <w:lvlJc w:val="left"/>
      <w:pPr>
        <w:ind w:left="5040" w:hanging="360"/>
      </w:pPr>
      <w:rPr>
        <w:rFonts w:ascii="Symbol" w:hAnsi="Symbol" w:hint="default"/>
      </w:rPr>
    </w:lvl>
    <w:lvl w:ilvl="7" w:tplc="EB3CFC7C">
      <w:start w:val="1"/>
      <w:numFmt w:val="bullet"/>
      <w:lvlText w:val="o"/>
      <w:lvlJc w:val="left"/>
      <w:pPr>
        <w:ind w:left="5760" w:hanging="360"/>
      </w:pPr>
      <w:rPr>
        <w:rFonts w:ascii="Courier New" w:hAnsi="Courier New" w:hint="default"/>
      </w:rPr>
    </w:lvl>
    <w:lvl w:ilvl="8" w:tplc="E812C278">
      <w:start w:val="1"/>
      <w:numFmt w:val="bullet"/>
      <w:lvlText w:val=""/>
      <w:lvlJc w:val="left"/>
      <w:pPr>
        <w:ind w:left="6480" w:hanging="360"/>
      </w:pPr>
      <w:rPr>
        <w:rFonts w:ascii="Wingdings" w:hAnsi="Wingdings" w:hint="default"/>
      </w:rPr>
    </w:lvl>
  </w:abstractNum>
  <w:abstractNum w:abstractNumId="16" w15:restartNumberingAfterBreak="0">
    <w:nsid w:val="48D7E640"/>
    <w:multiLevelType w:val="hybridMultilevel"/>
    <w:tmpl w:val="FFFFFFFF"/>
    <w:lvl w:ilvl="0" w:tplc="0BC60FF8">
      <w:start w:val="1"/>
      <w:numFmt w:val="bullet"/>
      <w:lvlText w:val="·"/>
      <w:lvlJc w:val="left"/>
      <w:pPr>
        <w:ind w:left="720" w:hanging="360"/>
      </w:pPr>
      <w:rPr>
        <w:rFonts w:ascii="Symbol" w:hAnsi="Symbol" w:hint="default"/>
      </w:rPr>
    </w:lvl>
    <w:lvl w:ilvl="1" w:tplc="1CEA8A18">
      <w:start w:val="1"/>
      <w:numFmt w:val="bullet"/>
      <w:lvlText w:val="o"/>
      <w:lvlJc w:val="left"/>
      <w:pPr>
        <w:ind w:left="1440" w:hanging="360"/>
      </w:pPr>
      <w:rPr>
        <w:rFonts w:ascii="Courier New" w:hAnsi="Courier New" w:hint="default"/>
      </w:rPr>
    </w:lvl>
    <w:lvl w:ilvl="2" w:tplc="32544DC2">
      <w:start w:val="1"/>
      <w:numFmt w:val="bullet"/>
      <w:lvlText w:val=""/>
      <w:lvlJc w:val="left"/>
      <w:pPr>
        <w:ind w:left="2160" w:hanging="360"/>
      </w:pPr>
      <w:rPr>
        <w:rFonts w:ascii="Wingdings" w:hAnsi="Wingdings" w:hint="default"/>
      </w:rPr>
    </w:lvl>
    <w:lvl w:ilvl="3" w:tplc="9C3C4EE2">
      <w:start w:val="1"/>
      <w:numFmt w:val="bullet"/>
      <w:lvlText w:val=""/>
      <w:lvlJc w:val="left"/>
      <w:pPr>
        <w:ind w:left="2880" w:hanging="360"/>
      </w:pPr>
      <w:rPr>
        <w:rFonts w:ascii="Symbol" w:hAnsi="Symbol" w:hint="default"/>
      </w:rPr>
    </w:lvl>
    <w:lvl w:ilvl="4" w:tplc="8A28926E">
      <w:start w:val="1"/>
      <w:numFmt w:val="bullet"/>
      <w:lvlText w:val="o"/>
      <w:lvlJc w:val="left"/>
      <w:pPr>
        <w:ind w:left="3600" w:hanging="360"/>
      </w:pPr>
      <w:rPr>
        <w:rFonts w:ascii="Courier New" w:hAnsi="Courier New" w:hint="default"/>
      </w:rPr>
    </w:lvl>
    <w:lvl w:ilvl="5" w:tplc="2B0E1276">
      <w:start w:val="1"/>
      <w:numFmt w:val="bullet"/>
      <w:lvlText w:val=""/>
      <w:lvlJc w:val="left"/>
      <w:pPr>
        <w:ind w:left="4320" w:hanging="360"/>
      </w:pPr>
      <w:rPr>
        <w:rFonts w:ascii="Wingdings" w:hAnsi="Wingdings" w:hint="default"/>
      </w:rPr>
    </w:lvl>
    <w:lvl w:ilvl="6" w:tplc="AEBE458C">
      <w:start w:val="1"/>
      <w:numFmt w:val="bullet"/>
      <w:lvlText w:val=""/>
      <w:lvlJc w:val="left"/>
      <w:pPr>
        <w:ind w:left="5040" w:hanging="360"/>
      </w:pPr>
      <w:rPr>
        <w:rFonts w:ascii="Symbol" w:hAnsi="Symbol" w:hint="default"/>
      </w:rPr>
    </w:lvl>
    <w:lvl w:ilvl="7" w:tplc="99B8ACEA">
      <w:start w:val="1"/>
      <w:numFmt w:val="bullet"/>
      <w:lvlText w:val="o"/>
      <w:lvlJc w:val="left"/>
      <w:pPr>
        <w:ind w:left="5760" w:hanging="360"/>
      </w:pPr>
      <w:rPr>
        <w:rFonts w:ascii="Courier New" w:hAnsi="Courier New" w:hint="default"/>
      </w:rPr>
    </w:lvl>
    <w:lvl w:ilvl="8" w:tplc="34B8FF22">
      <w:start w:val="1"/>
      <w:numFmt w:val="bullet"/>
      <w:lvlText w:val=""/>
      <w:lvlJc w:val="left"/>
      <w:pPr>
        <w:ind w:left="6480" w:hanging="360"/>
      </w:pPr>
      <w:rPr>
        <w:rFonts w:ascii="Wingdings" w:hAnsi="Wingdings" w:hint="default"/>
      </w:rPr>
    </w:lvl>
  </w:abstractNum>
  <w:abstractNum w:abstractNumId="17" w15:restartNumberingAfterBreak="0">
    <w:nsid w:val="4B6FBA8E"/>
    <w:multiLevelType w:val="hybridMultilevel"/>
    <w:tmpl w:val="FFFFFFFF"/>
    <w:lvl w:ilvl="0" w:tplc="1F1A7556">
      <w:start w:val="1"/>
      <w:numFmt w:val="bullet"/>
      <w:lvlText w:val="-"/>
      <w:lvlJc w:val="left"/>
      <w:pPr>
        <w:ind w:left="720" w:hanging="360"/>
      </w:pPr>
      <w:rPr>
        <w:rFonts w:ascii="&quot;Aptos&quot;,sans-serif" w:hAnsi="&quot;Aptos&quot;,sans-serif" w:hint="default"/>
      </w:rPr>
    </w:lvl>
    <w:lvl w:ilvl="1" w:tplc="D8DE3430">
      <w:start w:val="1"/>
      <w:numFmt w:val="bullet"/>
      <w:lvlText w:val="o"/>
      <w:lvlJc w:val="left"/>
      <w:pPr>
        <w:ind w:left="1440" w:hanging="360"/>
      </w:pPr>
      <w:rPr>
        <w:rFonts w:ascii="Courier New" w:hAnsi="Courier New" w:hint="default"/>
      </w:rPr>
    </w:lvl>
    <w:lvl w:ilvl="2" w:tplc="71EA9C18">
      <w:start w:val="1"/>
      <w:numFmt w:val="bullet"/>
      <w:lvlText w:val=""/>
      <w:lvlJc w:val="left"/>
      <w:pPr>
        <w:ind w:left="2160" w:hanging="360"/>
      </w:pPr>
      <w:rPr>
        <w:rFonts w:ascii="Wingdings" w:hAnsi="Wingdings" w:hint="default"/>
      </w:rPr>
    </w:lvl>
    <w:lvl w:ilvl="3" w:tplc="C0342908">
      <w:start w:val="1"/>
      <w:numFmt w:val="bullet"/>
      <w:lvlText w:val=""/>
      <w:lvlJc w:val="left"/>
      <w:pPr>
        <w:ind w:left="2880" w:hanging="360"/>
      </w:pPr>
      <w:rPr>
        <w:rFonts w:ascii="Symbol" w:hAnsi="Symbol" w:hint="default"/>
      </w:rPr>
    </w:lvl>
    <w:lvl w:ilvl="4" w:tplc="7124FDEE">
      <w:start w:val="1"/>
      <w:numFmt w:val="bullet"/>
      <w:lvlText w:val="o"/>
      <w:lvlJc w:val="left"/>
      <w:pPr>
        <w:ind w:left="3600" w:hanging="360"/>
      </w:pPr>
      <w:rPr>
        <w:rFonts w:ascii="Courier New" w:hAnsi="Courier New" w:hint="default"/>
      </w:rPr>
    </w:lvl>
    <w:lvl w:ilvl="5" w:tplc="33A6DCD4">
      <w:start w:val="1"/>
      <w:numFmt w:val="bullet"/>
      <w:lvlText w:val=""/>
      <w:lvlJc w:val="left"/>
      <w:pPr>
        <w:ind w:left="4320" w:hanging="360"/>
      </w:pPr>
      <w:rPr>
        <w:rFonts w:ascii="Wingdings" w:hAnsi="Wingdings" w:hint="default"/>
      </w:rPr>
    </w:lvl>
    <w:lvl w:ilvl="6" w:tplc="3F0885F0">
      <w:start w:val="1"/>
      <w:numFmt w:val="bullet"/>
      <w:lvlText w:val=""/>
      <w:lvlJc w:val="left"/>
      <w:pPr>
        <w:ind w:left="5040" w:hanging="360"/>
      </w:pPr>
      <w:rPr>
        <w:rFonts w:ascii="Symbol" w:hAnsi="Symbol" w:hint="default"/>
      </w:rPr>
    </w:lvl>
    <w:lvl w:ilvl="7" w:tplc="CF8EFFA8">
      <w:start w:val="1"/>
      <w:numFmt w:val="bullet"/>
      <w:lvlText w:val="o"/>
      <w:lvlJc w:val="left"/>
      <w:pPr>
        <w:ind w:left="5760" w:hanging="360"/>
      </w:pPr>
      <w:rPr>
        <w:rFonts w:ascii="Courier New" w:hAnsi="Courier New" w:hint="default"/>
      </w:rPr>
    </w:lvl>
    <w:lvl w:ilvl="8" w:tplc="5EFAF98C">
      <w:start w:val="1"/>
      <w:numFmt w:val="bullet"/>
      <w:lvlText w:val=""/>
      <w:lvlJc w:val="left"/>
      <w:pPr>
        <w:ind w:left="6480" w:hanging="360"/>
      </w:pPr>
      <w:rPr>
        <w:rFonts w:ascii="Wingdings" w:hAnsi="Wingdings" w:hint="default"/>
      </w:rPr>
    </w:lvl>
  </w:abstractNum>
  <w:abstractNum w:abstractNumId="18" w15:restartNumberingAfterBreak="0">
    <w:nsid w:val="4E1A48EB"/>
    <w:multiLevelType w:val="hybridMultilevel"/>
    <w:tmpl w:val="FFFFFFFF"/>
    <w:lvl w:ilvl="0" w:tplc="4760B542">
      <w:start w:val="1"/>
      <w:numFmt w:val="bullet"/>
      <w:lvlText w:val="·"/>
      <w:lvlJc w:val="left"/>
      <w:pPr>
        <w:ind w:left="720" w:hanging="360"/>
      </w:pPr>
      <w:rPr>
        <w:rFonts w:ascii="Symbol" w:hAnsi="Symbol" w:hint="default"/>
      </w:rPr>
    </w:lvl>
    <w:lvl w:ilvl="1" w:tplc="4378AFC2">
      <w:start w:val="1"/>
      <w:numFmt w:val="bullet"/>
      <w:lvlText w:val="o"/>
      <w:lvlJc w:val="left"/>
      <w:pPr>
        <w:ind w:left="1440" w:hanging="360"/>
      </w:pPr>
      <w:rPr>
        <w:rFonts w:ascii="Courier New" w:hAnsi="Courier New" w:hint="default"/>
      </w:rPr>
    </w:lvl>
    <w:lvl w:ilvl="2" w:tplc="30B4EA00">
      <w:start w:val="1"/>
      <w:numFmt w:val="bullet"/>
      <w:lvlText w:val=""/>
      <w:lvlJc w:val="left"/>
      <w:pPr>
        <w:ind w:left="2160" w:hanging="360"/>
      </w:pPr>
      <w:rPr>
        <w:rFonts w:ascii="Wingdings" w:hAnsi="Wingdings" w:hint="default"/>
      </w:rPr>
    </w:lvl>
    <w:lvl w:ilvl="3" w:tplc="A0F20840">
      <w:start w:val="1"/>
      <w:numFmt w:val="bullet"/>
      <w:lvlText w:val=""/>
      <w:lvlJc w:val="left"/>
      <w:pPr>
        <w:ind w:left="2880" w:hanging="360"/>
      </w:pPr>
      <w:rPr>
        <w:rFonts w:ascii="Symbol" w:hAnsi="Symbol" w:hint="default"/>
      </w:rPr>
    </w:lvl>
    <w:lvl w:ilvl="4" w:tplc="FA80BDE0">
      <w:start w:val="1"/>
      <w:numFmt w:val="bullet"/>
      <w:lvlText w:val="o"/>
      <w:lvlJc w:val="left"/>
      <w:pPr>
        <w:ind w:left="3600" w:hanging="360"/>
      </w:pPr>
      <w:rPr>
        <w:rFonts w:ascii="Courier New" w:hAnsi="Courier New" w:hint="default"/>
      </w:rPr>
    </w:lvl>
    <w:lvl w:ilvl="5" w:tplc="B64C38DE">
      <w:start w:val="1"/>
      <w:numFmt w:val="bullet"/>
      <w:lvlText w:val=""/>
      <w:lvlJc w:val="left"/>
      <w:pPr>
        <w:ind w:left="4320" w:hanging="360"/>
      </w:pPr>
      <w:rPr>
        <w:rFonts w:ascii="Wingdings" w:hAnsi="Wingdings" w:hint="default"/>
      </w:rPr>
    </w:lvl>
    <w:lvl w:ilvl="6" w:tplc="E4F2BB40">
      <w:start w:val="1"/>
      <w:numFmt w:val="bullet"/>
      <w:lvlText w:val=""/>
      <w:lvlJc w:val="left"/>
      <w:pPr>
        <w:ind w:left="5040" w:hanging="360"/>
      </w:pPr>
      <w:rPr>
        <w:rFonts w:ascii="Symbol" w:hAnsi="Symbol" w:hint="default"/>
      </w:rPr>
    </w:lvl>
    <w:lvl w:ilvl="7" w:tplc="FAAC3F5A">
      <w:start w:val="1"/>
      <w:numFmt w:val="bullet"/>
      <w:lvlText w:val="o"/>
      <w:lvlJc w:val="left"/>
      <w:pPr>
        <w:ind w:left="5760" w:hanging="360"/>
      </w:pPr>
      <w:rPr>
        <w:rFonts w:ascii="Courier New" w:hAnsi="Courier New" w:hint="default"/>
      </w:rPr>
    </w:lvl>
    <w:lvl w:ilvl="8" w:tplc="D40A457E">
      <w:start w:val="1"/>
      <w:numFmt w:val="bullet"/>
      <w:lvlText w:val=""/>
      <w:lvlJc w:val="left"/>
      <w:pPr>
        <w:ind w:left="6480" w:hanging="360"/>
      </w:pPr>
      <w:rPr>
        <w:rFonts w:ascii="Wingdings" w:hAnsi="Wingdings" w:hint="default"/>
      </w:rPr>
    </w:lvl>
  </w:abstractNum>
  <w:abstractNum w:abstractNumId="19" w15:restartNumberingAfterBreak="0">
    <w:nsid w:val="505F648C"/>
    <w:multiLevelType w:val="hybridMultilevel"/>
    <w:tmpl w:val="FFFFFFFF"/>
    <w:lvl w:ilvl="0" w:tplc="6C94F330">
      <w:start w:val="1"/>
      <w:numFmt w:val="bullet"/>
      <w:lvlText w:val="-"/>
      <w:lvlJc w:val="left"/>
      <w:pPr>
        <w:ind w:left="720" w:hanging="360"/>
      </w:pPr>
      <w:rPr>
        <w:rFonts w:ascii="&quot;Calibri Light&quot;,sans-serif" w:hAnsi="&quot;Calibri Light&quot;,sans-serif" w:hint="default"/>
      </w:rPr>
    </w:lvl>
    <w:lvl w:ilvl="1" w:tplc="2C90EFAA">
      <w:start w:val="1"/>
      <w:numFmt w:val="bullet"/>
      <w:lvlText w:val="o"/>
      <w:lvlJc w:val="left"/>
      <w:pPr>
        <w:ind w:left="1440" w:hanging="360"/>
      </w:pPr>
      <w:rPr>
        <w:rFonts w:ascii="Courier New" w:hAnsi="Courier New" w:hint="default"/>
      </w:rPr>
    </w:lvl>
    <w:lvl w:ilvl="2" w:tplc="0B6A2D86">
      <w:start w:val="1"/>
      <w:numFmt w:val="bullet"/>
      <w:lvlText w:val=""/>
      <w:lvlJc w:val="left"/>
      <w:pPr>
        <w:ind w:left="2160" w:hanging="360"/>
      </w:pPr>
      <w:rPr>
        <w:rFonts w:ascii="Wingdings" w:hAnsi="Wingdings" w:hint="default"/>
      </w:rPr>
    </w:lvl>
    <w:lvl w:ilvl="3" w:tplc="F61C53BA">
      <w:start w:val="1"/>
      <w:numFmt w:val="bullet"/>
      <w:lvlText w:val=""/>
      <w:lvlJc w:val="left"/>
      <w:pPr>
        <w:ind w:left="2880" w:hanging="360"/>
      </w:pPr>
      <w:rPr>
        <w:rFonts w:ascii="Symbol" w:hAnsi="Symbol" w:hint="default"/>
      </w:rPr>
    </w:lvl>
    <w:lvl w:ilvl="4" w:tplc="8AB263A4">
      <w:start w:val="1"/>
      <w:numFmt w:val="bullet"/>
      <w:lvlText w:val="o"/>
      <w:lvlJc w:val="left"/>
      <w:pPr>
        <w:ind w:left="3600" w:hanging="360"/>
      </w:pPr>
      <w:rPr>
        <w:rFonts w:ascii="Courier New" w:hAnsi="Courier New" w:hint="default"/>
      </w:rPr>
    </w:lvl>
    <w:lvl w:ilvl="5" w:tplc="F7669B90">
      <w:start w:val="1"/>
      <w:numFmt w:val="bullet"/>
      <w:lvlText w:val=""/>
      <w:lvlJc w:val="left"/>
      <w:pPr>
        <w:ind w:left="4320" w:hanging="360"/>
      </w:pPr>
      <w:rPr>
        <w:rFonts w:ascii="Wingdings" w:hAnsi="Wingdings" w:hint="default"/>
      </w:rPr>
    </w:lvl>
    <w:lvl w:ilvl="6" w:tplc="69FEC8AA">
      <w:start w:val="1"/>
      <w:numFmt w:val="bullet"/>
      <w:lvlText w:val=""/>
      <w:lvlJc w:val="left"/>
      <w:pPr>
        <w:ind w:left="5040" w:hanging="360"/>
      </w:pPr>
      <w:rPr>
        <w:rFonts w:ascii="Symbol" w:hAnsi="Symbol" w:hint="default"/>
      </w:rPr>
    </w:lvl>
    <w:lvl w:ilvl="7" w:tplc="D27C7E30">
      <w:start w:val="1"/>
      <w:numFmt w:val="bullet"/>
      <w:lvlText w:val="o"/>
      <w:lvlJc w:val="left"/>
      <w:pPr>
        <w:ind w:left="5760" w:hanging="360"/>
      </w:pPr>
      <w:rPr>
        <w:rFonts w:ascii="Courier New" w:hAnsi="Courier New" w:hint="default"/>
      </w:rPr>
    </w:lvl>
    <w:lvl w:ilvl="8" w:tplc="692E70D8">
      <w:start w:val="1"/>
      <w:numFmt w:val="bullet"/>
      <w:lvlText w:val=""/>
      <w:lvlJc w:val="left"/>
      <w:pPr>
        <w:ind w:left="6480" w:hanging="360"/>
      </w:pPr>
      <w:rPr>
        <w:rFonts w:ascii="Wingdings" w:hAnsi="Wingdings" w:hint="default"/>
      </w:rPr>
    </w:lvl>
  </w:abstractNum>
  <w:abstractNum w:abstractNumId="20" w15:restartNumberingAfterBreak="0">
    <w:nsid w:val="5248ED87"/>
    <w:multiLevelType w:val="hybridMultilevel"/>
    <w:tmpl w:val="FFFFFFFF"/>
    <w:lvl w:ilvl="0" w:tplc="9476D668">
      <w:start w:val="1"/>
      <w:numFmt w:val="bullet"/>
      <w:lvlText w:val="·"/>
      <w:lvlJc w:val="left"/>
      <w:pPr>
        <w:ind w:left="720" w:hanging="360"/>
      </w:pPr>
      <w:rPr>
        <w:rFonts w:ascii="Symbol" w:hAnsi="Symbol" w:hint="default"/>
      </w:rPr>
    </w:lvl>
    <w:lvl w:ilvl="1" w:tplc="F0EE693E">
      <w:start w:val="1"/>
      <w:numFmt w:val="bullet"/>
      <w:lvlText w:val="o"/>
      <w:lvlJc w:val="left"/>
      <w:pPr>
        <w:ind w:left="1440" w:hanging="360"/>
      </w:pPr>
      <w:rPr>
        <w:rFonts w:ascii="Courier New" w:hAnsi="Courier New" w:hint="default"/>
      </w:rPr>
    </w:lvl>
    <w:lvl w:ilvl="2" w:tplc="D4C66E8E">
      <w:start w:val="1"/>
      <w:numFmt w:val="bullet"/>
      <w:lvlText w:val=""/>
      <w:lvlJc w:val="left"/>
      <w:pPr>
        <w:ind w:left="2160" w:hanging="360"/>
      </w:pPr>
      <w:rPr>
        <w:rFonts w:ascii="Wingdings" w:hAnsi="Wingdings" w:hint="default"/>
      </w:rPr>
    </w:lvl>
    <w:lvl w:ilvl="3" w:tplc="A650C0E6">
      <w:start w:val="1"/>
      <w:numFmt w:val="bullet"/>
      <w:lvlText w:val=""/>
      <w:lvlJc w:val="left"/>
      <w:pPr>
        <w:ind w:left="2880" w:hanging="360"/>
      </w:pPr>
      <w:rPr>
        <w:rFonts w:ascii="Symbol" w:hAnsi="Symbol" w:hint="default"/>
      </w:rPr>
    </w:lvl>
    <w:lvl w:ilvl="4" w:tplc="B8CAAA02">
      <w:start w:val="1"/>
      <w:numFmt w:val="bullet"/>
      <w:lvlText w:val="o"/>
      <w:lvlJc w:val="left"/>
      <w:pPr>
        <w:ind w:left="3600" w:hanging="360"/>
      </w:pPr>
      <w:rPr>
        <w:rFonts w:ascii="Courier New" w:hAnsi="Courier New" w:hint="default"/>
      </w:rPr>
    </w:lvl>
    <w:lvl w:ilvl="5" w:tplc="7FDC7848">
      <w:start w:val="1"/>
      <w:numFmt w:val="bullet"/>
      <w:lvlText w:val=""/>
      <w:lvlJc w:val="left"/>
      <w:pPr>
        <w:ind w:left="4320" w:hanging="360"/>
      </w:pPr>
      <w:rPr>
        <w:rFonts w:ascii="Wingdings" w:hAnsi="Wingdings" w:hint="default"/>
      </w:rPr>
    </w:lvl>
    <w:lvl w:ilvl="6" w:tplc="DA28D06A">
      <w:start w:val="1"/>
      <w:numFmt w:val="bullet"/>
      <w:lvlText w:val=""/>
      <w:lvlJc w:val="left"/>
      <w:pPr>
        <w:ind w:left="5040" w:hanging="360"/>
      </w:pPr>
      <w:rPr>
        <w:rFonts w:ascii="Symbol" w:hAnsi="Symbol" w:hint="default"/>
      </w:rPr>
    </w:lvl>
    <w:lvl w:ilvl="7" w:tplc="F2762364">
      <w:start w:val="1"/>
      <w:numFmt w:val="bullet"/>
      <w:lvlText w:val="o"/>
      <w:lvlJc w:val="left"/>
      <w:pPr>
        <w:ind w:left="5760" w:hanging="360"/>
      </w:pPr>
      <w:rPr>
        <w:rFonts w:ascii="Courier New" w:hAnsi="Courier New" w:hint="default"/>
      </w:rPr>
    </w:lvl>
    <w:lvl w:ilvl="8" w:tplc="2CF0586C">
      <w:start w:val="1"/>
      <w:numFmt w:val="bullet"/>
      <w:lvlText w:val=""/>
      <w:lvlJc w:val="left"/>
      <w:pPr>
        <w:ind w:left="6480" w:hanging="360"/>
      </w:pPr>
      <w:rPr>
        <w:rFonts w:ascii="Wingdings" w:hAnsi="Wingdings" w:hint="default"/>
      </w:rPr>
    </w:lvl>
  </w:abstractNum>
  <w:abstractNum w:abstractNumId="21" w15:restartNumberingAfterBreak="0">
    <w:nsid w:val="57F5C083"/>
    <w:multiLevelType w:val="hybridMultilevel"/>
    <w:tmpl w:val="FFFFFFFF"/>
    <w:lvl w:ilvl="0" w:tplc="CAD24EEC">
      <w:start w:val="1"/>
      <w:numFmt w:val="bullet"/>
      <w:lvlText w:val="·"/>
      <w:lvlJc w:val="left"/>
      <w:pPr>
        <w:ind w:left="720" w:hanging="360"/>
      </w:pPr>
      <w:rPr>
        <w:rFonts w:ascii="Symbol" w:hAnsi="Symbol" w:hint="default"/>
      </w:rPr>
    </w:lvl>
    <w:lvl w:ilvl="1" w:tplc="3180756E">
      <w:start w:val="1"/>
      <w:numFmt w:val="bullet"/>
      <w:lvlText w:val="o"/>
      <w:lvlJc w:val="left"/>
      <w:pPr>
        <w:ind w:left="1440" w:hanging="360"/>
      </w:pPr>
      <w:rPr>
        <w:rFonts w:ascii="Courier New" w:hAnsi="Courier New" w:hint="default"/>
      </w:rPr>
    </w:lvl>
    <w:lvl w:ilvl="2" w:tplc="78A284AE">
      <w:start w:val="1"/>
      <w:numFmt w:val="bullet"/>
      <w:lvlText w:val=""/>
      <w:lvlJc w:val="left"/>
      <w:pPr>
        <w:ind w:left="2160" w:hanging="360"/>
      </w:pPr>
      <w:rPr>
        <w:rFonts w:ascii="Wingdings" w:hAnsi="Wingdings" w:hint="default"/>
      </w:rPr>
    </w:lvl>
    <w:lvl w:ilvl="3" w:tplc="9C24A8A6">
      <w:start w:val="1"/>
      <w:numFmt w:val="bullet"/>
      <w:lvlText w:val=""/>
      <w:lvlJc w:val="left"/>
      <w:pPr>
        <w:ind w:left="2880" w:hanging="360"/>
      </w:pPr>
      <w:rPr>
        <w:rFonts w:ascii="Symbol" w:hAnsi="Symbol" w:hint="default"/>
      </w:rPr>
    </w:lvl>
    <w:lvl w:ilvl="4" w:tplc="77B4BDD6">
      <w:start w:val="1"/>
      <w:numFmt w:val="bullet"/>
      <w:lvlText w:val="o"/>
      <w:lvlJc w:val="left"/>
      <w:pPr>
        <w:ind w:left="3600" w:hanging="360"/>
      </w:pPr>
      <w:rPr>
        <w:rFonts w:ascii="Courier New" w:hAnsi="Courier New" w:hint="default"/>
      </w:rPr>
    </w:lvl>
    <w:lvl w:ilvl="5" w:tplc="4FB2FA56">
      <w:start w:val="1"/>
      <w:numFmt w:val="bullet"/>
      <w:lvlText w:val=""/>
      <w:lvlJc w:val="left"/>
      <w:pPr>
        <w:ind w:left="4320" w:hanging="360"/>
      </w:pPr>
      <w:rPr>
        <w:rFonts w:ascii="Wingdings" w:hAnsi="Wingdings" w:hint="default"/>
      </w:rPr>
    </w:lvl>
    <w:lvl w:ilvl="6" w:tplc="57FE28CC">
      <w:start w:val="1"/>
      <w:numFmt w:val="bullet"/>
      <w:lvlText w:val=""/>
      <w:lvlJc w:val="left"/>
      <w:pPr>
        <w:ind w:left="5040" w:hanging="360"/>
      </w:pPr>
      <w:rPr>
        <w:rFonts w:ascii="Symbol" w:hAnsi="Symbol" w:hint="default"/>
      </w:rPr>
    </w:lvl>
    <w:lvl w:ilvl="7" w:tplc="870C737E">
      <w:start w:val="1"/>
      <w:numFmt w:val="bullet"/>
      <w:lvlText w:val="o"/>
      <w:lvlJc w:val="left"/>
      <w:pPr>
        <w:ind w:left="5760" w:hanging="360"/>
      </w:pPr>
      <w:rPr>
        <w:rFonts w:ascii="Courier New" w:hAnsi="Courier New" w:hint="default"/>
      </w:rPr>
    </w:lvl>
    <w:lvl w:ilvl="8" w:tplc="3982A5A0">
      <w:start w:val="1"/>
      <w:numFmt w:val="bullet"/>
      <w:lvlText w:val=""/>
      <w:lvlJc w:val="left"/>
      <w:pPr>
        <w:ind w:left="6480" w:hanging="360"/>
      </w:pPr>
      <w:rPr>
        <w:rFonts w:ascii="Wingdings" w:hAnsi="Wingdings" w:hint="default"/>
      </w:rPr>
    </w:lvl>
  </w:abstractNum>
  <w:abstractNum w:abstractNumId="22" w15:restartNumberingAfterBreak="0">
    <w:nsid w:val="5E47C77E"/>
    <w:multiLevelType w:val="hybridMultilevel"/>
    <w:tmpl w:val="FFFFFFFF"/>
    <w:lvl w:ilvl="0" w:tplc="A92C71E0">
      <w:start w:val="1"/>
      <w:numFmt w:val="decimal"/>
      <w:lvlText w:val="%1."/>
      <w:lvlJc w:val="left"/>
      <w:pPr>
        <w:ind w:left="720" w:hanging="360"/>
      </w:pPr>
    </w:lvl>
    <w:lvl w:ilvl="1" w:tplc="08D06EF4">
      <w:start w:val="1"/>
      <w:numFmt w:val="lowerLetter"/>
      <w:lvlText w:val="%2."/>
      <w:lvlJc w:val="left"/>
      <w:pPr>
        <w:ind w:left="1440" w:hanging="360"/>
      </w:pPr>
    </w:lvl>
    <w:lvl w:ilvl="2" w:tplc="22E05C22">
      <w:start w:val="1"/>
      <w:numFmt w:val="lowerRoman"/>
      <w:lvlText w:val="%3."/>
      <w:lvlJc w:val="right"/>
      <w:pPr>
        <w:ind w:left="2160" w:hanging="180"/>
      </w:pPr>
    </w:lvl>
    <w:lvl w:ilvl="3" w:tplc="0F58F07C">
      <w:start w:val="1"/>
      <w:numFmt w:val="decimal"/>
      <w:lvlText w:val="%4."/>
      <w:lvlJc w:val="left"/>
      <w:pPr>
        <w:ind w:left="2880" w:hanging="360"/>
      </w:pPr>
    </w:lvl>
    <w:lvl w:ilvl="4" w:tplc="8E84C336">
      <w:start w:val="1"/>
      <w:numFmt w:val="lowerLetter"/>
      <w:lvlText w:val="%5."/>
      <w:lvlJc w:val="left"/>
      <w:pPr>
        <w:ind w:left="3600" w:hanging="360"/>
      </w:pPr>
    </w:lvl>
    <w:lvl w:ilvl="5" w:tplc="8C7CEDC8">
      <w:start w:val="1"/>
      <w:numFmt w:val="lowerRoman"/>
      <w:lvlText w:val="%6."/>
      <w:lvlJc w:val="right"/>
      <w:pPr>
        <w:ind w:left="4320" w:hanging="180"/>
      </w:pPr>
    </w:lvl>
    <w:lvl w:ilvl="6" w:tplc="CC6606F8">
      <w:start w:val="1"/>
      <w:numFmt w:val="decimal"/>
      <w:lvlText w:val="%7."/>
      <w:lvlJc w:val="left"/>
      <w:pPr>
        <w:ind w:left="5040" w:hanging="360"/>
      </w:pPr>
    </w:lvl>
    <w:lvl w:ilvl="7" w:tplc="AA2AA31E">
      <w:start w:val="1"/>
      <w:numFmt w:val="lowerLetter"/>
      <w:lvlText w:val="%8."/>
      <w:lvlJc w:val="left"/>
      <w:pPr>
        <w:ind w:left="5760" w:hanging="360"/>
      </w:pPr>
    </w:lvl>
    <w:lvl w:ilvl="8" w:tplc="3A4864E6">
      <w:start w:val="1"/>
      <w:numFmt w:val="lowerRoman"/>
      <w:lvlText w:val="%9."/>
      <w:lvlJc w:val="right"/>
      <w:pPr>
        <w:ind w:left="6480" w:hanging="180"/>
      </w:pPr>
    </w:lvl>
  </w:abstractNum>
  <w:abstractNum w:abstractNumId="23" w15:restartNumberingAfterBreak="0">
    <w:nsid w:val="601DA343"/>
    <w:multiLevelType w:val="hybridMultilevel"/>
    <w:tmpl w:val="FFFFFFFF"/>
    <w:lvl w:ilvl="0" w:tplc="360CDB64">
      <w:start w:val="1"/>
      <w:numFmt w:val="bullet"/>
      <w:lvlText w:val="·"/>
      <w:lvlJc w:val="left"/>
      <w:pPr>
        <w:ind w:left="720" w:hanging="360"/>
      </w:pPr>
      <w:rPr>
        <w:rFonts w:ascii="Symbol" w:hAnsi="Symbol" w:hint="default"/>
      </w:rPr>
    </w:lvl>
    <w:lvl w:ilvl="1" w:tplc="07CA2E2C">
      <w:start w:val="1"/>
      <w:numFmt w:val="bullet"/>
      <w:lvlText w:val="o"/>
      <w:lvlJc w:val="left"/>
      <w:pPr>
        <w:ind w:left="1440" w:hanging="360"/>
      </w:pPr>
      <w:rPr>
        <w:rFonts w:ascii="Courier New" w:hAnsi="Courier New" w:hint="default"/>
      </w:rPr>
    </w:lvl>
    <w:lvl w:ilvl="2" w:tplc="A812637E">
      <w:start w:val="1"/>
      <w:numFmt w:val="bullet"/>
      <w:lvlText w:val=""/>
      <w:lvlJc w:val="left"/>
      <w:pPr>
        <w:ind w:left="2160" w:hanging="360"/>
      </w:pPr>
      <w:rPr>
        <w:rFonts w:ascii="Wingdings" w:hAnsi="Wingdings" w:hint="default"/>
      </w:rPr>
    </w:lvl>
    <w:lvl w:ilvl="3" w:tplc="32EA933E">
      <w:start w:val="1"/>
      <w:numFmt w:val="bullet"/>
      <w:lvlText w:val=""/>
      <w:lvlJc w:val="left"/>
      <w:pPr>
        <w:ind w:left="2880" w:hanging="360"/>
      </w:pPr>
      <w:rPr>
        <w:rFonts w:ascii="Symbol" w:hAnsi="Symbol" w:hint="default"/>
      </w:rPr>
    </w:lvl>
    <w:lvl w:ilvl="4" w:tplc="30C8B91C">
      <w:start w:val="1"/>
      <w:numFmt w:val="bullet"/>
      <w:lvlText w:val="o"/>
      <w:lvlJc w:val="left"/>
      <w:pPr>
        <w:ind w:left="3600" w:hanging="360"/>
      </w:pPr>
      <w:rPr>
        <w:rFonts w:ascii="Courier New" w:hAnsi="Courier New" w:hint="default"/>
      </w:rPr>
    </w:lvl>
    <w:lvl w:ilvl="5" w:tplc="1DC219B6">
      <w:start w:val="1"/>
      <w:numFmt w:val="bullet"/>
      <w:lvlText w:val=""/>
      <w:lvlJc w:val="left"/>
      <w:pPr>
        <w:ind w:left="4320" w:hanging="360"/>
      </w:pPr>
      <w:rPr>
        <w:rFonts w:ascii="Wingdings" w:hAnsi="Wingdings" w:hint="default"/>
      </w:rPr>
    </w:lvl>
    <w:lvl w:ilvl="6" w:tplc="D5F6F702">
      <w:start w:val="1"/>
      <w:numFmt w:val="bullet"/>
      <w:lvlText w:val=""/>
      <w:lvlJc w:val="left"/>
      <w:pPr>
        <w:ind w:left="5040" w:hanging="360"/>
      </w:pPr>
      <w:rPr>
        <w:rFonts w:ascii="Symbol" w:hAnsi="Symbol" w:hint="default"/>
      </w:rPr>
    </w:lvl>
    <w:lvl w:ilvl="7" w:tplc="8BF6C824">
      <w:start w:val="1"/>
      <w:numFmt w:val="bullet"/>
      <w:lvlText w:val="o"/>
      <w:lvlJc w:val="left"/>
      <w:pPr>
        <w:ind w:left="5760" w:hanging="360"/>
      </w:pPr>
      <w:rPr>
        <w:rFonts w:ascii="Courier New" w:hAnsi="Courier New" w:hint="default"/>
      </w:rPr>
    </w:lvl>
    <w:lvl w:ilvl="8" w:tplc="C7A0F1CA">
      <w:start w:val="1"/>
      <w:numFmt w:val="bullet"/>
      <w:lvlText w:val=""/>
      <w:lvlJc w:val="left"/>
      <w:pPr>
        <w:ind w:left="6480" w:hanging="360"/>
      </w:pPr>
      <w:rPr>
        <w:rFonts w:ascii="Wingdings" w:hAnsi="Wingdings" w:hint="default"/>
      </w:rPr>
    </w:lvl>
  </w:abstractNum>
  <w:abstractNum w:abstractNumId="24" w15:restartNumberingAfterBreak="0">
    <w:nsid w:val="6A703E79"/>
    <w:multiLevelType w:val="hybridMultilevel"/>
    <w:tmpl w:val="FFFFFFFF"/>
    <w:lvl w:ilvl="0" w:tplc="8F9A8E38">
      <w:start w:val="1"/>
      <w:numFmt w:val="bullet"/>
      <w:lvlText w:val="-"/>
      <w:lvlJc w:val="left"/>
      <w:pPr>
        <w:ind w:left="720" w:hanging="360"/>
      </w:pPr>
      <w:rPr>
        <w:rFonts w:ascii="Symbol" w:hAnsi="Symbol" w:hint="default"/>
      </w:rPr>
    </w:lvl>
    <w:lvl w:ilvl="1" w:tplc="8DA8F63E">
      <w:start w:val="1"/>
      <w:numFmt w:val="bullet"/>
      <w:lvlText w:val="o"/>
      <w:lvlJc w:val="left"/>
      <w:pPr>
        <w:ind w:left="1440" w:hanging="360"/>
      </w:pPr>
      <w:rPr>
        <w:rFonts w:ascii="Courier New" w:hAnsi="Courier New" w:hint="default"/>
      </w:rPr>
    </w:lvl>
    <w:lvl w:ilvl="2" w:tplc="33D4AD8C">
      <w:start w:val="1"/>
      <w:numFmt w:val="bullet"/>
      <w:lvlText w:val=""/>
      <w:lvlJc w:val="left"/>
      <w:pPr>
        <w:ind w:left="2160" w:hanging="360"/>
      </w:pPr>
      <w:rPr>
        <w:rFonts w:ascii="Wingdings" w:hAnsi="Wingdings" w:hint="default"/>
      </w:rPr>
    </w:lvl>
    <w:lvl w:ilvl="3" w:tplc="5B02DD22">
      <w:start w:val="1"/>
      <w:numFmt w:val="bullet"/>
      <w:lvlText w:val=""/>
      <w:lvlJc w:val="left"/>
      <w:pPr>
        <w:ind w:left="2880" w:hanging="360"/>
      </w:pPr>
      <w:rPr>
        <w:rFonts w:ascii="Symbol" w:hAnsi="Symbol" w:hint="default"/>
      </w:rPr>
    </w:lvl>
    <w:lvl w:ilvl="4" w:tplc="E968EF7C">
      <w:start w:val="1"/>
      <w:numFmt w:val="bullet"/>
      <w:lvlText w:val="o"/>
      <w:lvlJc w:val="left"/>
      <w:pPr>
        <w:ind w:left="3600" w:hanging="360"/>
      </w:pPr>
      <w:rPr>
        <w:rFonts w:ascii="Courier New" w:hAnsi="Courier New" w:hint="default"/>
      </w:rPr>
    </w:lvl>
    <w:lvl w:ilvl="5" w:tplc="0D4EE14A">
      <w:start w:val="1"/>
      <w:numFmt w:val="bullet"/>
      <w:lvlText w:val=""/>
      <w:lvlJc w:val="left"/>
      <w:pPr>
        <w:ind w:left="4320" w:hanging="360"/>
      </w:pPr>
      <w:rPr>
        <w:rFonts w:ascii="Wingdings" w:hAnsi="Wingdings" w:hint="default"/>
      </w:rPr>
    </w:lvl>
    <w:lvl w:ilvl="6" w:tplc="8A20624E">
      <w:start w:val="1"/>
      <w:numFmt w:val="bullet"/>
      <w:lvlText w:val=""/>
      <w:lvlJc w:val="left"/>
      <w:pPr>
        <w:ind w:left="5040" w:hanging="360"/>
      </w:pPr>
      <w:rPr>
        <w:rFonts w:ascii="Symbol" w:hAnsi="Symbol" w:hint="default"/>
      </w:rPr>
    </w:lvl>
    <w:lvl w:ilvl="7" w:tplc="AB0C8F4C">
      <w:start w:val="1"/>
      <w:numFmt w:val="bullet"/>
      <w:lvlText w:val="o"/>
      <w:lvlJc w:val="left"/>
      <w:pPr>
        <w:ind w:left="5760" w:hanging="360"/>
      </w:pPr>
      <w:rPr>
        <w:rFonts w:ascii="Courier New" w:hAnsi="Courier New" w:hint="default"/>
      </w:rPr>
    </w:lvl>
    <w:lvl w:ilvl="8" w:tplc="E7E275A0">
      <w:start w:val="1"/>
      <w:numFmt w:val="bullet"/>
      <w:lvlText w:val=""/>
      <w:lvlJc w:val="left"/>
      <w:pPr>
        <w:ind w:left="6480" w:hanging="360"/>
      </w:pPr>
      <w:rPr>
        <w:rFonts w:ascii="Wingdings" w:hAnsi="Wingdings" w:hint="default"/>
      </w:rPr>
    </w:lvl>
  </w:abstractNum>
  <w:abstractNum w:abstractNumId="25" w15:restartNumberingAfterBreak="0">
    <w:nsid w:val="6DCCE30A"/>
    <w:multiLevelType w:val="hybridMultilevel"/>
    <w:tmpl w:val="FFFFFFFF"/>
    <w:lvl w:ilvl="0" w:tplc="07FE05E0">
      <w:start w:val="1"/>
      <w:numFmt w:val="decimal"/>
      <w:lvlText w:val="%1."/>
      <w:lvlJc w:val="left"/>
      <w:pPr>
        <w:ind w:left="720" w:hanging="360"/>
      </w:pPr>
    </w:lvl>
    <w:lvl w:ilvl="1" w:tplc="CCB6E4DE">
      <w:start w:val="1"/>
      <w:numFmt w:val="lowerLetter"/>
      <w:lvlText w:val="%2."/>
      <w:lvlJc w:val="left"/>
      <w:pPr>
        <w:ind w:left="1440" w:hanging="360"/>
      </w:pPr>
    </w:lvl>
    <w:lvl w:ilvl="2" w:tplc="D5AEF172">
      <w:start w:val="1"/>
      <w:numFmt w:val="lowerRoman"/>
      <w:lvlText w:val="%3."/>
      <w:lvlJc w:val="right"/>
      <w:pPr>
        <w:ind w:left="2160" w:hanging="180"/>
      </w:pPr>
    </w:lvl>
    <w:lvl w:ilvl="3" w:tplc="531815EA">
      <w:start w:val="1"/>
      <w:numFmt w:val="decimal"/>
      <w:lvlText w:val="%4."/>
      <w:lvlJc w:val="left"/>
      <w:pPr>
        <w:ind w:left="2880" w:hanging="360"/>
      </w:pPr>
    </w:lvl>
    <w:lvl w:ilvl="4" w:tplc="FD2C2A2C">
      <w:start w:val="1"/>
      <w:numFmt w:val="lowerLetter"/>
      <w:lvlText w:val="%5."/>
      <w:lvlJc w:val="left"/>
      <w:pPr>
        <w:ind w:left="3600" w:hanging="360"/>
      </w:pPr>
    </w:lvl>
    <w:lvl w:ilvl="5" w:tplc="65AA8B20">
      <w:start w:val="1"/>
      <w:numFmt w:val="lowerRoman"/>
      <w:lvlText w:val="%6."/>
      <w:lvlJc w:val="right"/>
      <w:pPr>
        <w:ind w:left="4320" w:hanging="180"/>
      </w:pPr>
    </w:lvl>
    <w:lvl w:ilvl="6" w:tplc="D5D290F4">
      <w:start w:val="1"/>
      <w:numFmt w:val="decimal"/>
      <w:lvlText w:val="%7."/>
      <w:lvlJc w:val="left"/>
      <w:pPr>
        <w:ind w:left="5040" w:hanging="360"/>
      </w:pPr>
    </w:lvl>
    <w:lvl w:ilvl="7" w:tplc="5C58F9A2">
      <w:start w:val="1"/>
      <w:numFmt w:val="lowerLetter"/>
      <w:lvlText w:val="%8."/>
      <w:lvlJc w:val="left"/>
      <w:pPr>
        <w:ind w:left="5760" w:hanging="360"/>
      </w:pPr>
    </w:lvl>
    <w:lvl w:ilvl="8" w:tplc="5806611A">
      <w:start w:val="1"/>
      <w:numFmt w:val="lowerRoman"/>
      <w:lvlText w:val="%9."/>
      <w:lvlJc w:val="right"/>
      <w:pPr>
        <w:ind w:left="6480" w:hanging="180"/>
      </w:pPr>
    </w:lvl>
  </w:abstractNum>
  <w:abstractNum w:abstractNumId="26" w15:restartNumberingAfterBreak="0">
    <w:nsid w:val="6F5671EA"/>
    <w:multiLevelType w:val="hybridMultilevel"/>
    <w:tmpl w:val="FFFFFFFF"/>
    <w:lvl w:ilvl="0" w:tplc="E1F62E54">
      <w:start w:val="1"/>
      <w:numFmt w:val="bullet"/>
      <w:lvlText w:val="·"/>
      <w:lvlJc w:val="left"/>
      <w:pPr>
        <w:ind w:left="720" w:hanging="360"/>
      </w:pPr>
      <w:rPr>
        <w:rFonts w:ascii="Symbol" w:hAnsi="Symbol" w:hint="default"/>
      </w:rPr>
    </w:lvl>
    <w:lvl w:ilvl="1" w:tplc="97D07864">
      <w:start w:val="1"/>
      <w:numFmt w:val="bullet"/>
      <w:lvlText w:val="o"/>
      <w:lvlJc w:val="left"/>
      <w:pPr>
        <w:ind w:left="1440" w:hanging="360"/>
      </w:pPr>
      <w:rPr>
        <w:rFonts w:ascii="Courier New" w:hAnsi="Courier New" w:hint="default"/>
      </w:rPr>
    </w:lvl>
    <w:lvl w:ilvl="2" w:tplc="0F022C5E">
      <w:start w:val="1"/>
      <w:numFmt w:val="bullet"/>
      <w:lvlText w:val=""/>
      <w:lvlJc w:val="left"/>
      <w:pPr>
        <w:ind w:left="2160" w:hanging="360"/>
      </w:pPr>
      <w:rPr>
        <w:rFonts w:ascii="Wingdings" w:hAnsi="Wingdings" w:hint="default"/>
      </w:rPr>
    </w:lvl>
    <w:lvl w:ilvl="3" w:tplc="76342E12">
      <w:start w:val="1"/>
      <w:numFmt w:val="bullet"/>
      <w:lvlText w:val=""/>
      <w:lvlJc w:val="left"/>
      <w:pPr>
        <w:ind w:left="2880" w:hanging="360"/>
      </w:pPr>
      <w:rPr>
        <w:rFonts w:ascii="Symbol" w:hAnsi="Symbol" w:hint="default"/>
      </w:rPr>
    </w:lvl>
    <w:lvl w:ilvl="4" w:tplc="B414E49E">
      <w:start w:val="1"/>
      <w:numFmt w:val="bullet"/>
      <w:lvlText w:val="o"/>
      <w:lvlJc w:val="left"/>
      <w:pPr>
        <w:ind w:left="3600" w:hanging="360"/>
      </w:pPr>
      <w:rPr>
        <w:rFonts w:ascii="Courier New" w:hAnsi="Courier New" w:hint="default"/>
      </w:rPr>
    </w:lvl>
    <w:lvl w:ilvl="5" w:tplc="1A6042BA">
      <w:start w:val="1"/>
      <w:numFmt w:val="bullet"/>
      <w:lvlText w:val=""/>
      <w:lvlJc w:val="left"/>
      <w:pPr>
        <w:ind w:left="4320" w:hanging="360"/>
      </w:pPr>
      <w:rPr>
        <w:rFonts w:ascii="Wingdings" w:hAnsi="Wingdings" w:hint="default"/>
      </w:rPr>
    </w:lvl>
    <w:lvl w:ilvl="6" w:tplc="2F4CF57E">
      <w:start w:val="1"/>
      <w:numFmt w:val="bullet"/>
      <w:lvlText w:val=""/>
      <w:lvlJc w:val="left"/>
      <w:pPr>
        <w:ind w:left="5040" w:hanging="360"/>
      </w:pPr>
      <w:rPr>
        <w:rFonts w:ascii="Symbol" w:hAnsi="Symbol" w:hint="default"/>
      </w:rPr>
    </w:lvl>
    <w:lvl w:ilvl="7" w:tplc="8D988BD6">
      <w:start w:val="1"/>
      <w:numFmt w:val="bullet"/>
      <w:lvlText w:val="o"/>
      <w:lvlJc w:val="left"/>
      <w:pPr>
        <w:ind w:left="5760" w:hanging="360"/>
      </w:pPr>
      <w:rPr>
        <w:rFonts w:ascii="Courier New" w:hAnsi="Courier New" w:hint="default"/>
      </w:rPr>
    </w:lvl>
    <w:lvl w:ilvl="8" w:tplc="35AC5A5A">
      <w:start w:val="1"/>
      <w:numFmt w:val="bullet"/>
      <w:lvlText w:val=""/>
      <w:lvlJc w:val="left"/>
      <w:pPr>
        <w:ind w:left="6480" w:hanging="360"/>
      </w:pPr>
      <w:rPr>
        <w:rFonts w:ascii="Wingdings" w:hAnsi="Wingdings" w:hint="default"/>
      </w:rPr>
    </w:lvl>
  </w:abstractNum>
  <w:abstractNum w:abstractNumId="27" w15:restartNumberingAfterBreak="0">
    <w:nsid w:val="70144471"/>
    <w:multiLevelType w:val="hybridMultilevel"/>
    <w:tmpl w:val="FFFFFFFF"/>
    <w:lvl w:ilvl="0" w:tplc="6B7A8FC8">
      <w:start w:val="1"/>
      <w:numFmt w:val="bullet"/>
      <w:lvlText w:val="·"/>
      <w:lvlJc w:val="left"/>
      <w:pPr>
        <w:ind w:left="720" w:hanging="360"/>
      </w:pPr>
      <w:rPr>
        <w:rFonts w:ascii="Symbol" w:hAnsi="Symbol" w:hint="default"/>
      </w:rPr>
    </w:lvl>
    <w:lvl w:ilvl="1" w:tplc="8A7C42C6">
      <w:start w:val="1"/>
      <w:numFmt w:val="bullet"/>
      <w:lvlText w:val="o"/>
      <w:lvlJc w:val="left"/>
      <w:pPr>
        <w:ind w:left="1440" w:hanging="360"/>
      </w:pPr>
      <w:rPr>
        <w:rFonts w:ascii="Courier New" w:hAnsi="Courier New" w:hint="default"/>
      </w:rPr>
    </w:lvl>
    <w:lvl w:ilvl="2" w:tplc="000C1718">
      <w:start w:val="1"/>
      <w:numFmt w:val="bullet"/>
      <w:lvlText w:val=""/>
      <w:lvlJc w:val="left"/>
      <w:pPr>
        <w:ind w:left="2160" w:hanging="360"/>
      </w:pPr>
      <w:rPr>
        <w:rFonts w:ascii="Wingdings" w:hAnsi="Wingdings" w:hint="default"/>
      </w:rPr>
    </w:lvl>
    <w:lvl w:ilvl="3" w:tplc="67FA638E">
      <w:start w:val="1"/>
      <w:numFmt w:val="bullet"/>
      <w:lvlText w:val=""/>
      <w:lvlJc w:val="left"/>
      <w:pPr>
        <w:ind w:left="2880" w:hanging="360"/>
      </w:pPr>
      <w:rPr>
        <w:rFonts w:ascii="Symbol" w:hAnsi="Symbol" w:hint="default"/>
      </w:rPr>
    </w:lvl>
    <w:lvl w:ilvl="4" w:tplc="D070DDF2">
      <w:start w:val="1"/>
      <w:numFmt w:val="bullet"/>
      <w:lvlText w:val="o"/>
      <w:lvlJc w:val="left"/>
      <w:pPr>
        <w:ind w:left="3600" w:hanging="360"/>
      </w:pPr>
      <w:rPr>
        <w:rFonts w:ascii="Courier New" w:hAnsi="Courier New" w:hint="default"/>
      </w:rPr>
    </w:lvl>
    <w:lvl w:ilvl="5" w:tplc="18CC9ECA">
      <w:start w:val="1"/>
      <w:numFmt w:val="bullet"/>
      <w:lvlText w:val=""/>
      <w:lvlJc w:val="left"/>
      <w:pPr>
        <w:ind w:left="4320" w:hanging="360"/>
      </w:pPr>
      <w:rPr>
        <w:rFonts w:ascii="Wingdings" w:hAnsi="Wingdings" w:hint="default"/>
      </w:rPr>
    </w:lvl>
    <w:lvl w:ilvl="6" w:tplc="11322D82">
      <w:start w:val="1"/>
      <w:numFmt w:val="bullet"/>
      <w:lvlText w:val=""/>
      <w:lvlJc w:val="left"/>
      <w:pPr>
        <w:ind w:left="5040" w:hanging="360"/>
      </w:pPr>
      <w:rPr>
        <w:rFonts w:ascii="Symbol" w:hAnsi="Symbol" w:hint="default"/>
      </w:rPr>
    </w:lvl>
    <w:lvl w:ilvl="7" w:tplc="4D040BA2">
      <w:start w:val="1"/>
      <w:numFmt w:val="bullet"/>
      <w:lvlText w:val="o"/>
      <w:lvlJc w:val="left"/>
      <w:pPr>
        <w:ind w:left="5760" w:hanging="360"/>
      </w:pPr>
      <w:rPr>
        <w:rFonts w:ascii="Courier New" w:hAnsi="Courier New" w:hint="default"/>
      </w:rPr>
    </w:lvl>
    <w:lvl w:ilvl="8" w:tplc="995265EE">
      <w:start w:val="1"/>
      <w:numFmt w:val="bullet"/>
      <w:lvlText w:val=""/>
      <w:lvlJc w:val="left"/>
      <w:pPr>
        <w:ind w:left="6480" w:hanging="360"/>
      </w:pPr>
      <w:rPr>
        <w:rFonts w:ascii="Wingdings" w:hAnsi="Wingdings" w:hint="default"/>
      </w:rPr>
    </w:lvl>
  </w:abstractNum>
  <w:abstractNum w:abstractNumId="28" w15:restartNumberingAfterBreak="0">
    <w:nsid w:val="73136A80"/>
    <w:multiLevelType w:val="multilevel"/>
    <w:tmpl w:val="41082FB4"/>
    <w:lvl w:ilvl="0">
      <w:start w:val="1"/>
      <w:numFmt w:val="decimal"/>
      <w:pStyle w:val="Ttulo1"/>
      <w:lvlText w:val="%1."/>
      <w:lvlJc w:val="left"/>
      <w:pPr>
        <w:ind w:left="360" w:hanging="360"/>
      </w:pPr>
      <w:rPr>
        <w:rFonts w:asciiTheme="minorHAnsi" w:eastAsia="Arial" w:hAnsiTheme="minorHAnsi" w:cstheme="minorHAnsi" w:hint="default"/>
        <w:i w:val="0"/>
        <w:iCs w:val="0"/>
        <w:u w:val="none"/>
      </w:rPr>
    </w:lvl>
    <w:lvl w:ilvl="1">
      <w:start w:val="1"/>
      <w:numFmt w:val="decimal"/>
      <w:isLgl/>
      <w:lvlText w:val="%1.%2."/>
      <w:lvlJc w:val="left"/>
      <w:pPr>
        <w:ind w:left="478" w:hanging="360"/>
      </w:pPr>
      <w:rPr>
        <w:rFonts w:hint="default"/>
        <w:i w:val="0"/>
      </w:rPr>
    </w:lvl>
    <w:lvl w:ilvl="2">
      <w:start w:val="1"/>
      <w:numFmt w:val="lowerLetter"/>
      <w:lvlText w:val="%3."/>
      <w:lvlJc w:val="left"/>
      <w:pPr>
        <w:ind w:left="596" w:hanging="360"/>
      </w:pPr>
      <w:rPr>
        <w:sz w:val="20"/>
        <w:szCs w:val="20"/>
      </w:rPr>
    </w:lvl>
    <w:lvl w:ilvl="3">
      <w:start w:val="1"/>
      <w:numFmt w:val="decimal"/>
      <w:isLgl/>
      <w:lvlText w:val="%1.%2.%3.%4."/>
      <w:lvlJc w:val="left"/>
      <w:pPr>
        <w:ind w:left="1074" w:hanging="720"/>
      </w:pPr>
      <w:rPr>
        <w:rFonts w:hint="default"/>
        <w:i w:val="0"/>
      </w:rPr>
    </w:lvl>
    <w:lvl w:ilvl="4">
      <w:start w:val="1"/>
      <w:numFmt w:val="decimal"/>
      <w:isLgl/>
      <w:lvlText w:val="%1.%2.%3.%4.%5."/>
      <w:lvlJc w:val="left"/>
      <w:pPr>
        <w:ind w:left="1552" w:hanging="1080"/>
      </w:pPr>
      <w:rPr>
        <w:rFonts w:hint="default"/>
        <w:i w:val="0"/>
      </w:rPr>
    </w:lvl>
    <w:lvl w:ilvl="5">
      <w:start w:val="1"/>
      <w:numFmt w:val="decimal"/>
      <w:isLgl/>
      <w:lvlText w:val="%1.%2.%3.%4.%5.%6."/>
      <w:lvlJc w:val="left"/>
      <w:pPr>
        <w:ind w:left="1670" w:hanging="1080"/>
      </w:pPr>
      <w:rPr>
        <w:rFonts w:hint="default"/>
        <w:i w:val="0"/>
      </w:rPr>
    </w:lvl>
    <w:lvl w:ilvl="6">
      <w:start w:val="1"/>
      <w:numFmt w:val="decimal"/>
      <w:isLgl/>
      <w:lvlText w:val="%1.%2.%3.%4.%5.%6.%7."/>
      <w:lvlJc w:val="left"/>
      <w:pPr>
        <w:ind w:left="2148" w:hanging="1440"/>
      </w:pPr>
      <w:rPr>
        <w:rFonts w:hint="default"/>
        <w:i w:val="0"/>
      </w:rPr>
    </w:lvl>
    <w:lvl w:ilvl="7">
      <w:start w:val="1"/>
      <w:numFmt w:val="decimal"/>
      <w:isLgl/>
      <w:lvlText w:val="%1.%2.%3.%4.%5.%6.%7.%8."/>
      <w:lvlJc w:val="left"/>
      <w:pPr>
        <w:ind w:left="2266" w:hanging="1440"/>
      </w:pPr>
      <w:rPr>
        <w:rFonts w:hint="default"/>
        <w:i w:val="0"/>
      </w:rPr>
    </w:lvl>
    <w:lvl w:ilvl="8">
      <w:start w:val="1"/>
      <w:numFmt w:val="decimal"/>
      <w:isLgl/>
      <w:lvlText w:val="%1.%2.%3.%4.%5.%6.%7.%8.%9."/>
      <w:lvlJc w:val="left"/>
      <w:pPr>
        <w:ind w:left="2744" w:hanging="1800"/>
      </w:pPr>
      <w:rPr>
        <w:rFonts w:hint="default"/>
        <w:i w:val="0"/>
      </w:rPr>
    </w:lvl>
  </w:abstractNum>
  <w:abstractNum w:abstractNumId="29" w15:restartNumberingAfterBreak="0">
    <w:nsid w:val="73647A8B"/>
    <w:multiLevelType w:val="hybridMultilevel"/>
    <w:tmpl w:val="FFFFFFFF"/>
    <w:lvl w:ilvl="0" w:tplc="7DA80E6E">
      <w:start w:val="1"/>
      <w:numFmt w:val="bullet"/>
      <w:lvlText w:val="-"/>
      <w:lvlJc w:val="left"/>
      <w:pPr>
        <w:ind w:left="720" w:hanging="360"/>
      </w:pPr>
      <w:rPr>
        <w:rFonts w:ascii="Symbol" w:hAnsi="Symbol" w:hint="default"/>
      </w:rPr>
    </w:lvl>
    <w:lvl w:ilvl="1" w:tplc="F90857FA">
      <w:start w:val="1"/>
      <w:numFmt w:val="decimal"/>
      <w:lvlText w:val="•"/>
      <w:lvlJc w:val="left"/>
      <w:pPr>
        <w:ind w:left="1440" w:hanging="360"/>
      </w:pPr>
    </w:lvl>
    <w:lvl w:ilvl="2" w:tplc="ADFC08A0">
      <w:start w:val="1"/>
      <w:numFmt w:val="bullet"/>
      <w:lvlText w:val=""/>
      <w:lvlJc w:val="left"/>
      <w:pPr>
        <w:ind w:left="2160" w:hanging="360"/>
      </w:pPr>
      <w:rPr>
        <w:rFonts w:ascii="Wingdings" w:hAnsi="Wingdings" w:hint="default"/>
      </w:rPr>
    </w:lvl>
    <w:lvl w:ilvl="3" w:tplc="3E42EB4E">
      <w:start w:val="1"/>
      <w:numFmt w:val="bullet"/>
      <w:lvlText w:val=""/>
      <w:lvlJc w:val="left"/>
      <w:pPr>
        <w:ind w:left="2880" w:hanging="360"/>
      </w:pPr>
      <w:rPr>
        <w:rFonts w:ascii="Symbol" w:hAnsi="Symbol" w:hint="default"/>
      </w:rPr>
    </w:lvl>
    <w:lvl w:ilvl="4" w:tplc="9418E7EE">
      <w:start w:val="1"/>
      <w:numFmt w:val="bullet"/>
      <w:lvlText w:val="o"/>
      <w:lvlJc w:val="left"/>
      <w:pPr>
        <w:ind w:left="3600" w:hanging="360"/>
      </w:pPr>
      <w:rPr>
        <w:rFonts w:ascii="Courier New" w:hAnsi="Courier New" w:hint="default"/>
      </w:rPr>
    </w:lvl>
    <w:lvl w:ilvl="5" w:tplc="3540474C">
      <w:start w:val="1"/>
      <w:numFmt w:val="bullet"/>
      <w:lvlText w:val=""/>
      <w:lvlJc w:val="left"/>
      <w:pPr>
        <w:ind w:left="4320" w:hanging="360"/>
      </w:pPr>
      <w:rPr>
        <w:rFonts w:ascii="Wingdings" w:hAnsi="Wingdings" w:hint="default"/>
      </w:rPr>
    </w:lvl>
    <w:lvl w:ilvl="6" w:tplc="C0364924">
      <w:start w:val="1"/>
      <w:numFmt w:val="bullet"/>
      <w:lvlText w:val=""/>
      <w:lvlJc w:val="left"/>
      <w:pPr>
        <w:ind w:left="5040" w:hanging="360"/>
      </w:pPr>
      <w:rPr>
        <w:rFonts w:ascii="Symbol" w:hAnsi="Symbol" w:hint="default"/>
      </w:rPr>
    </w:lvl>
    <w:lvl w:ilvl="7" w:tplc="704447F8">
      <w:start w:val="1"/>
      <w:numFmt w:val="bullet"/>
      <w:lvlText w:val="o"/>
      <w:lvlJc w:val="left"/>
      <w:pPr>
        <w:ind w:left="5760" w:hanging="360"/>
      </w:pPr>
      <w:rPr>
        <w:rFonts w:ascii="Courier New" w:hAnsi="Courier New" w:hint="default"/>
      </w:rPr>
    </w:lvl>
    <w:lvl w:ilvl="8" w:tplc="61300158">
      <w:start w:val="1"/>
      <w:numFmt w:val="bullet"/>
      <w:lvlText w:val=""/>
      <w:lvlJc w:val="left"/>
      <w:pPr>
        <w:ind w:left="6480" w:hanging="360"/>
      </w:pPr>
      <w:rPr>
        <w:rFonts w:ascii="Wingdings" w:hAnsi="Wingdings" w:hint="default"/>
      </w:rPr>
    </w:lvl>
  </w:abstractNum>
  <w:abstractNum w:abstractNumId="30" w15:restartNumberingAfterBreak="0">
    <w:nsid w:val="738C8CB4"/>
    <w:multiLevelType w:val="hybridMultilevel"/>
    <w:tmpl w:val="FFFFFFFF"/>
    <w:lvl w:ilvl="0" w:tplc="56183C1E">
      <w:start w:val="1"/>
      <w:numFmt w:val="lowerLetter"/>
      <w:lvlText w:val="%1."/>
      <w:lvlJc w:val="left"/>
      <w:pPr>
        <w:ind w:left="720" w:hanging="360"/>
      </w:pPr>
    </w:lvl>
    <w:lvl w:ilvl="1" w:tplc="97CAA6FE">
      <w:start w:val="1"/>
      <w:numFmt w:val="lowerLetter"/>
      <w:lvlText w:val="%2."/>
      <w:lvlJc w:val="left"/>
      <w:pPr>
        <w:ind w:left="1440" w:hanging="360"/>
      </w:pPr>
    </w:lvl>
    <w:lvl w:ilvl="2" w:tplc="F9E461BC">
      <w:start w:val="1"/>
      <w:numFmt w:val="lowerRoman"/>
      <w:lvlText w:val="%3."/>
      <w:lvlJc w:val="right"/>
      <w:pPr>
        <w:ind w:left="2160" w:hanging="180"/>
      </w:pPr>
    </w:lvl>
    <w:lvl w:ilvl="3" w:tplc="E3442C7A">
      <w:start w:val="1"/>
      <w:numFmt w:val="decimal"/>
      <w:lvlText w:val="%4."/>
      <w:lvlJc w:val="left"/>
      <w:pPr>
        <w:ind w:left="2880" w:hanging="360"/>
      </w:pPr>
    </w:lvl>
    <w:lvl w:ilvl="4" w:tplc="AA1EBB7A">
      <w:start w:val="1"/>
      <w:numFmt w:val="lowerLetter"/>
      <w:lvlText w:val="%5."/>
      <w:lvlJc w:val="left"/>
      <w:pPr>
        <w:ind w:left="3600" w:hanging="360"/>
      </w:pPr>
    </w:lvl>
    <w:lvl w:ilvl="5" w:tplc="B03C8E36">
      <w:start w:val="1"/>
      <w:numFmt w:val="lowerRoman"/>
      <w:lvlText w:val="%6."/>
      <w:lvlJc w:val="right"/>
      <w:pPr>
        <w:ind w:left="4320" w:hanging="180"/>
      </w:pPr>
    </w:lvl>
    <w:lvl w:ilvl="6" w:tplc="4454A4B0">
      <w:start w:val="1"/>
      <w:numFmt w:val="decimal"/>
      <w:lvlText w:val="%7."/>
      <w:lvlJc w:val="left"/>
      <w:pPr>
        <w:ind w:left="5040" w:hanging="360"/>
      </w:pPr>
    </w:lvl>
    <w:lvl w:ilvl="7" w:tplc="A81A6EDA">
      <w:start w:val="1"/>
      <w:numFmt w:val="lowerLetter"/>
      <w:lvlText w:val="%8."/>
      <w:lvlJc w:val="left"/>
      <w:pPr>
        <w:ind w:left="5760" w:hanging="360"/>
      </w:pPr>
    </w:lvl>
    <w:lvl w:ilvl="8" w:tplc="FE4A189C">
      <w:start w:val="1"/>
      <w:numFmt w:val="lowerRoman"/>
      <w:lvlText w:val="%9."/>
      <w:lvlJc w:val="right"/>
      <w:pPr>
        <w:ind w:left="6480" w:hanging="180"/>
      </w:pPr>
    </w:lvl>
  </w:abstractNum>
  <w:abstractNum w:abstractNumId="31" w15:restartNumberingAfterBreak="0">
    <w:nsid w:val="739E4D48"/>
    <w:multiLevelType w:val="hybridMultilevel"/>
    <w:tmpl w:val="FFFFFFFF"/>
    <w:lvl w:ilvl="0" w:tplc="DE54E2FE">
      <w:start w:val="1"/>
      <w:numFmt w:val="bullet"/>
      <w:lvlText w:val="-"/>
      <w:lvlJc w:val="left"/>
      <w:pPr>
        <w:ind w:left="720" w:hanging="360"/>
      </w:pPr>
      <w:rPr>
        <w:rFonts w:ascii="&quot;Aptos&quot;,sans-serif" w:hAnsi="&quot;Aptos&quot;,sans-serif" w:hint="default"/>
      </w:rPr>
    </w:lvl>
    <w:lvl w:ilvl="1" w:tplc="D9BA60EA">
      <w:start w:val="1"/>
      <w:numFmt w:val="bullet"/>
      <w:lvlText w:val="o"/>
      <w:lvlJc w:val="left"/>
      <w:pPr>
        <w:ind w:left="1440" w:hanging="360"/>
      </w:pPr>
      <w:rPr>
        <w:rFonts w:ascii="Courier New" w:hAnsi="Courier New" w:hint="default"/>
      </w:rPr>
    </w:lvl>
    <w:lvl w:ilvl="2" w:tplc="52AE488A">
      <w:start w:val="1"/>
      <w:numFmt w:val="bullet"/>
      <w:lvlText w:val=""/>
      <w:lvlJc w:val="left"/>
      <w:pPr>
        <w:ind w:left="2160" w:hanging="360"/>
      </w:pPr>
      <w:rPr>
        <w:rFonts w:ascii="Wingdings" w:hAnsi="Wingdings" w:hint="default"/>
      </w:rPr>
    </w:lvl>
    <w:lvl w:ilvl="3" w:tplc="5BFC413E">
      <w:start w:val="1"/>
      <w:numFmt w:val="bullet"/>
      <w:lvlText w:val=""/>
      <w:lvlJc w:val="left"/>
      <w:pPr>
        <w:ind w:left="2880" w:hanging="360"/>
      </w:pPr>
      <w:rPr>
        <w:rFonts w:ascii="Symbol" w:hAnsi="Symbol" w:hint="default"/>
      </w:rPr>
    </w:lvl>
    <w:lvl w:ilvl="4" w:tplc="4DEAA32E">
      <w:start w:val="1"/>
      <w:numFmt w:val="bullet"/>
      <w:lvlText w:val="o"/>
      <w:lvlJc w:val="left"/>
      <w:pPr>
        <w:ind w:left="3600" w:hanging="360"/>
      </w:pPr>
      <w:rPr>
        <w:rFonts w:ascii="Courier New" w:hAnsi="Courier New" w:hint="default"/>
      </w:rPr>
    </w:lvl>
    <w:lvl w:ilvl="5" w:tplc="9F12041C">
      <w:start w:val="1"/>
      <w:numFmt w:val="bullet"/>
      <w:lvlText w:val=""/>
      <w:lvlJc w:val="left"/>
      <w:pPr>
        <w:ind w:left="4320" w:hanging="360"/>
      </w:pPr>
      <w:rPr>
        <w:rFonts w:ascii="Wingdings" w:hAnsi="Wingdings" w:hint="default"/>
      </w:rPr>
    </w:lvl>
    <w:lvl w:ilvl="6" w:tplc="295E844C">
      <w:start w:val="1"/>
      <w:numFmt w:val="bullet"/>
      <w:lvlText w:val=""/>
      <w:lvlJc w:val="left"/>
      <w:pPr>
        <w:ind w:left="5040" w:hanging="360"/>
      </w:pPr>
      <w:rPr>
        <w:rFonts w:ascii="Symbol" w:hAnsi="Symbol" w:hint="default"/>
      </w:rPr>
    </w:lvl>
    <w:lvl w:ilvl="7" w:tplc="E3D8833C">
      <w:start w:val="1"/>
      <w:numFmt w:val="bullet"/>
      <w:lvlText w:val="o"/>
      <w:lvlJc w:val="left"/>
      <w:pPr>
        <w:ind w:left="5760" w:hanging="360"/>
      </w:pPr>
      <w:rPr>
        <w:rFonts w:ascii="Courier New" w:hAnsi="Courier New" w:hint="default"/>
      </w:rPr>
    </w:lvl>
    <w:lvl w:ilvl="8" w:tplc="006A329E">
      <w:start w:val="1"/>
      <w:numFmt w:val="bullet"/>
      <w:lvlText w:val=""/>
      <w:lvlJc w:val="left"/>
      <w:pPr>
        <w:ind w:left="6480" w:hanging="360"/>
      </w:pPr>
      <w:rPr>
        <w:rFonts w:ascii="Wingdings" w:hAnsi="Wingdings" w:hint="default"/>
      </w:rPr>
    </w:lvl>
  </w:abstractNum>
  <w:abstractNum w:abstractNumId="32" w15:restartNumberingAfterBreak="0">
    <w:nsid w:val="751B6481"/>
    <w:multiLevelType w:val="hybridMultilevel"/>
    <w:tmpl w:val="FFFFFFFF"/>
    <w:lvl w:ilvl="0" w:tplc="297CE3C0">
      <w:start w:val="1"/>
      <w:numFmt w:val="bullet"/>
      <w:lvlText w:val="·"/>
      <w:lvlJc w:val="left"/>
      <w:pPr>
        <w:ind w:left="720" w:hanging="360"/>
      </w:pPr>
      <w:rPr>
        <w:rFonts w:ascii="Symbol" w:hAnsi="Symbol" w:hint="default"/>
      </w:rPr>
    </w:lvl>
    <w:lvl w:ilvl="1" w:tplc="DA94FBEC">
      <w:start w:val="1"/>
      <w:numFmt w:val="bullet"/>
      <w:lvlText w:val="o"/>
      <w:lvlJc w:val="left"/>
      <w:pPr>
        <w:ind w:left="1440" w:hanging="360"/>
      </w:pPr>
      <w:rPr>
        <w:rFonts w:ascii="Courier New" w:hAnsi="Courier New" w:hint="default"/>
      </w:rPr>
    </w:lvl>
    <w:lvl w:ilvl="2" w:tplc="1B3AFEE2">
      <w:start w:val="1"/>
      <w:numFmt w:val="bullet"/>
      <w:lvlText w:val=""/>
      <w:lvlJc w:val="left"/>
      <w:pPr>
        <w:ind w:left="2160" w:hanging="360"/>
      </w:pPr>
      <w:rPr>
        <w:rFonts w:ascii="Wingdings" w:hAnsi="Wingdings" w:hint="default"/>
      </w:rPr>
    </w:lvl>
    <w:lvl w:ilvl="3" w:tplc="D25EE86C">
      <w:start w:val="1"/>
      <w:numFmt w:val="bullet"/>
      <w:lvlText w:val=""/>
      <w:lvlJc w:val="left"/>
      <w:pPr>
        <w:ind w:left="2880" w:hanging="360"/>
      </w:pPr>
      <w:rPr>
        <w:rFonts w:ascii="Symbol" w:hAnsi="Symbol" w:hint="default"/>
      </w:rPr>
    </w:lvl>
    <w:lvl w:ilvl="4" w:tplc="3BB62F98">
      <w:start w:val="1"/>
      <w:numFmt w:val="bullet"/>
      <w:lvlText w:val="o"/>
      <w:lvlJc w:val="left"/>
      <w:pPr>
        <w:ind w:left="3600" w:hanging="360"/>
      </w:pPr>
      <w:rPr>
        <w:rFonts w:ascii="Courier New" w:hAnsi="Courier New" w:hint="default"/>
      </w:rPr>
    </w:lvl>
    <w:lvl w:ilvl="5" w:tplc="4314B752">
      <w:start w:val="1"/>
      <w:numFmt w:val="bullet"/>
      <w:lvlText w:val=""/>
      <w:lvlJc w:val="left"/>
      <w:pPr>
        <w:ind w:left="4320" w:hanging="360"/>
      </w:pPr>
      <w:rPr>
        <w:rFonts w:ascii="Wingdings" w:hAnsi="Wingdings" w:hint="default"/>
      </w:rPr>
    </w:lvl>
    <w:lvl w:ilvl="6" w:tplc="6C6C040A">
      <w:start w:val="1"/>
      <w:numFmt w:val="bullet"/>
      <w:lvlText w:val=""/>
      <w:lvlJc w:val="left"/>
      <w:pPr>
        <w:ind w:left="5040" w:hanging="360"/>
      </w:pPr>
      <w:rPr>
        <w:rFonts w:ascii="Symbol" w:hAnsi="Symbol" w:hint="default"/>
      </w:rPr>
    </w:lvl>
    <w:lvl w:ilvl="7" w:tplc="5808A1F2">
      <w:start w:val="1"/>
      <w:numFmt w:val="bullet"/>
      <w:lvlText w:val="o"/>
      <w:lvlJc w:val="left"/>
      <w:pPr>
        <w:ind w:left="5760" w:hanging="360"/>
      </w:pPr>
      <w:rPr>
        <w:rFonts w:ascii="Courier New" w:hAnsi="Courier New" w:hint="default"/>
      </w:rPr>
    </w:lvl>
    <w:lvl w:ilvl="8" w:tplc="45F07450">
      <w:start w:val="1"/>
      <w:numFmt w:val="bullet"/>
      <w:lvlText w:val=""/>
      <w:lvlJc w:val="left"/>
      <w:pPr>
        <w:ind w:left="6480" w:hanging="360"/>
      </w:pPr>
      <w:rPr>
        <w:rFonts w:ascii="Wingdings" w:hAnsi="Wingdings" w:hint="default"/>
      </w:rPr>
    </w:lvl>
  </w:abstractNum>
  <w:abstractNum w:abstractNumId="33" w15:restartNumberingAfterBreak="0">
    <w:nsid w:val="7BCE382E"/>
    <w:multiLevelType w:val="hybridMultilevel"/>
    <w:tmpl w:val="FFFFFFFF"/>
    <w:lvl w:ilvl="0" w:tplc="61E64E8A">
      <w:start w:val="1"/>
      <w:numFmt w:val="bullet"/>
      <w:lvlText w:val="·"/>
      <w:lvlJc w:val="left"/>
      <w:pPr>
        <w:ind w:left="720" w:hanging="360"/>
      </w:pPr>
      <w:rPr>
        <w:rFonts w:ascii="Symbol" w:hAnsi="Symbol" w:hint="default"/>
      </w:rPr>
    </w:lvl>
    <w:lvl w:ilvl="1" w:tplc="914C9794">
      <w:start w:val="1"/>
      <w:numFmt w:val="bullet"/>
      <w:lvlText w:val="o"/>
      <w:lvlJc w:val="left"/>
      <w:pPr>
        <w:ind w:left="1440" w:hanging="360"/>
      </w:pPr>
      <w:rPr>
        <w:rFonts w:ascii="Courier New" w:hAnsi="Courier New" w:hint="default"/>
      </w:rPr>
    </w:lvl>
    <w:lvl w:ilvl="2" w:tplc="9926BA9C">
      <w:start w:val="1"/>
      <w:numFmt w:val="bullet"/>
      <w:lvlText w:val=""/>
      <w:lvlJc w:val="left"/>
      <w:pPr>
        <w:ind w:left="2160" w:hanging="360"/>
      </w:pPr>
      <w:rPr>
        <w:rFonts w:ascii="Wingdings" w:hAnsi="Wingdings" w:hint="default"/>
      </w:rPr>
    </w:lvl>
    <w:lvl w:ilvl="3" w:tplc="88803034">
      <w:start w:val="1"/>
      <w:numFmt w:val="bullet"/>
      <w:lvlText w:val=""/>
      <w:lvlJc w:val="left"/>
      <w:pPr>
        <w:ind w:left="2880" w:hanging="360"/>
      </w:pPr>
      <w:rPr>
        <w:rFonts w:ascii="Symbol" w:hAnsi="Symbol" w:hint="default"/>
      </w:rPr>
    </w:lvl>
    <w:lvl w:ilvl="4" w:tplc="C76AD32E">
      <w:start w:val="1"/>
      <w:numFmt w:val="bullet"/>
      <w:lvlText w:val="o"/>
      <w:lvlJc w:val="left"/>
      <w:pPr>
        <w:ind w:left="3600" w:hanging="360"/>
      </w:pPr>
      <w:rPr>
        <w:rFonts w:ascii="Courier New" w:hAnsi="Courier New" w:hint="default"/>
      </w:rPr>
    </w:lvl>
    <w:lvl w:ilvl="5" w:tplc="2312D816">
      <w:start w:val="1"/>
      <w:numFmt w:val="bullet"/>
      <w:lvlText w:val=""/>
      <w:lvlJc w:val="left"/>
      <w:pPr>
        <w:ind w:left="4320" w:hanging="360"/>
      </w:pPr>
      <w:rPr>
        <w:rFonts w:ascii="Wingdings" w:hAnsi="Wingdings" w:hint="default"/>
      </w:rPr>
    </w:lvl>
    <w:lvl w:ilvl="6" w:tplc="5E00AC96">
      <w:start w:val="1"/>
      <w:numFmt w:val="bullet"/>
      <w:lvlText w:val=""/>
      <w:lvlJc w:val="left"/>
      <w:pPr>
        <w:ind w:left="5040" w:hanging="360"/>
      </w:pPr>
      <w:rPr>
        <w:rFonts w:ascii="Symbol" w:hAnsi="Symbol" w:hint="default"/>
      </w:rPr>
    </w:lvl>
    <w:lvl w:ilvl="7" w:tplc="97F8ADC6">
      <w:start w:val="1"/>
      <w:numFmt w:val="bullet"/>
      <w:lvlText w:val="o"/>
      <w:lvlJc w:val="left"/>
      <w:pPr>
        <w:ind w:left="5760" w:hanging="360"/>
      </w:pPr>
      <w:rPr>
        <w:rFonts w:ascii="Courier New" w:hAnsi="Courier New" w:hint="default"/>
      </w:rPr>
    </w:lvl>
    <w:lvl w:ilvl="8" w:tplc="0DF01086">
      <w:start w:val="1"/>
      <w:numFmt w:val="bullet"/>
      <w:lvlText w:val=""/>
      <w:lvlJc w:val="left"/>
      <w:pPr>
        <w:ind w:left="6480" w:hanging="360"/>
      </w:pPr>
      <w:rPr>
        <w:rFonts w:ascii="Wingdings" w:hAnsi="Wingdings" w:hint="default"/>
      </w:rPr>
    </w:lvl>
  </w:abstractNum>
  <w:num w:numId="1">
    <w:abstractNumId w:val="1"/>
  </w:num>
  <w:num w:numId="2">
    <w:abstractNumId w:val="21"/>
  </w:num>
  <w:num w:numId="3">
    <w:abstractNumId w:val="0"/>
  </w:num>
  <w:num w:numId="4">
    <w:abstractNumId w:val="8"/>
  </w:num>
  <w:num w:numId="5">
    <w:abstractNumId w:val="10"/>
  </w:num>
  <w:num w:numId="6">
    <w:abstractNumId w:val="33"/>
  </w:num>
  <w:num w:numId="7">
    <w:abstractNumId w:val="4"/>
  </w:num>
  <w:num w:numId="8">
    <w:abstractNumId w:val="2"/>
  </w:num>
  <w:num w:numId="9">
    <w:abstractNumId w:val="16"/>
  </w:num>
  <w:num w:numId="10">
    <w:abstractNumId w:val="15"/>
  </w:num>
  <w:num w:numId="11">
    <w:abstractNumId w:val="18"/>
  </w:num>
  <w:num w:numId="12">
    <w:abstractNumId w:val="23"/>
  </w:num>
  <w:num w:numId="13">
    <w:abstractNumId w:val="31"/>
  </w:num>
  <w:num w:numId="14">
    <w:abstractNumId w:val="6"/>
  </w:num>
  <w:num w:numId="15">
    <w:abstractNumId w:val="24"/>
  </w:num>
  <w:num w:numId="16">
    <w:abstractNumId w:val="13"/>
  </w:num>
  <w:num w:numId="17">
    <w:abstractNumId w:val="14"/>
  </w:num>
  <w:num w:numId="18">
    <w:abstractNumId w:val="25"/>
  </w:num>
  <w:num w:numId="19">
    <w:abstractNumId w:val="9"/>
  </w:num>
  <w:num w:numId="20">
    <w:abstractNumId w:val="19"/>
  </w:num>
  <w:num w:numId="21">
    <w:abstractNumId w:val="3"/>
  </w:num>
  <w:num w:numId="22">
    <w:abstractNumId w:val="29"/>
  </w:num>
  <w:num w:numId="23">
    <w:abstractNumId w:val="22"/>
  </w:num>
  <w:num w:numId="24">
    <w:abstractNumId w:val="30"/>
  </w:num>
  <w:num w:numId="25">
    <w:abstractNumId w:val="17"/>
  </w:num>
  <w:num w:numId="26">
    <w:abstractNumId w:val="11"/>
  </w:num>
  <w:num w:numId="27">
    <w:abstractNumId w:val="12"/>
  </w:num>
  <w:num w:numId="28">
    <w:abstractNumId w:val="7"/>
  </w:num>
  <w:num w:numId="29">
    <w:abstractNumId w:val="20"/>
  </w:num>
  <w:num w:numId="30">
    <w:abstractNumId w:val="27"/>
  </w:num>
  <w:num w:numId="31">
    <w:abstractNumId w:val="26"/>
  </w:num>
  <w:num w:numId="32">
    <w:abstractNumId w:val="32"/>
  </w:num>
  <w:num w:numId="33">
    <w:abstractNumId w:val="5"/>
  </w:num>
  <w:num w:numId="34">
    <w:abstractNumId w:val="2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03C9"/>
    <w:rsid w:val="0000091A"/>
    <w:rsid w:val="00000BD2"/>
    <w:rsid w:val="00000F66"/>
    <w:rsid w:val="000011FA"/>
    <w:rsid w:val="00002C92"/>
    <w:rsid w:val="0000309D"/>
    <w:rsid w:val="00008990"/>
    <w:rsid w:val="00010CB3"/>
    <w:rsid w:val="00010CCF"/>
    <w:rsid w:val="00013009"/>
    <w:rsid w:val="00016370"/>
    <w:rsid w:val="00016731"/>
    <w:rsid w:val="000167AD"/>
    <w:rsid w:val="0001ACA0"/>
    <w:rsid w:val="000219F7"/>
    <w:rsid w:val="000229DA"/>
    <w:rsid w:val="00023983"/>
    <w:rsid w:val="000248EF"/>
    <w:rsid w:val="00025577"/>
    <w:rsid w:val="00025EB5"/>
    <w:rsid w:val="0002630E"/>
    <w:rsid w:val="0002737C"/>
    <w:rsid w:val="0002747D"/>
    <w:rsid w:val="000307EE"/>
    <w:rsid w:val="00031157"/>
    <w:rsid w:val="00032C3D"/>
    <w:rsid w:val="00033490"/>
    <w:rsid w:val="00035A86"/>
    <w:rsid w:val="00035F34"/>
    <w:rsid w:val="00036282"/>
    <w:rsid w:val="00036B4F"/>
    <w:rsid w:val="00040272"/>
    <w:rsid w:val="00041E14"/>
    <w:rsid w:val="00043713"/>
    <w:rsid w:val="00046652"/>
    <w:rsid w:val="00050517"/>
    <w:rsid w:val="00050598"/>
    <w:rsid w:val="00052300"/>
    <w:rsid w:val="00056AD4"/>
    <w:rsid w:val="00056D2D"/>
    <w:rsid w:val="00057484"/>
    <w:rsid w:val="00061E13"/>
    <w:rsid w:val="00065137"/>
    <w:rsid w:val="00067278"/>
    <w:rsid w:val="00072F30"/>
    <w:rsid w:val="00073C6F"/>
    <w:rsid w:val="00074766"/>
    <w:rsid w:val="0007766E"/>
    <w:rsid w:val="000808F2"/>
    <w:rsid w:val="00080DBD"/>
    <w:rsid w:val="00083ABC"/>
    <w:rsid w:val="00083D71"/>
    <w:rsid w:val="000908BD"/>
    <w:rsid w:val="00090C9F"/>
    <w:rsid w:val="00091234"/>
    <w:rsid w:val="0009246F"/>
    <w:rsid w:val="000950AB"/>
    <w:rsid w:val="0009519A"/>
    <w:rsid w:val="00095A02"/>
    <w:rsid w:val="00097C5B"/>
    <w:rsid w:val="000A0B87"/>
    <w:rsid w:val="000A32DE"/>
    <w:rsid w:val="000A3E14"/>
    <w:rsid w:val="000A5178"/>
    <w:rsid w:val="000A5A15"/>
    <w:rsid w:val="000A7B4D"/>
    <w:rsid w:val="000A7EA4"/>
    <w:rsid w:val="000B1B02"/>
    <w:rsid w:val="000B467F"/>
    <w:rsid w:val="000B473B"/>
    <w:rsid w:val="000B6C97"/>
    <w:rsid w:val="000C0601"/>
    <w:rsid w:val="000C0B67"/>
    <w:rsid w:val="000C244A"/>
    <w:rsid w:val="000C26F0"/>
    <w:rsid w:val="000C2B9B"/>
    <w:rsid w:val="000C5AC2"/>
    <w:rsid w:val="000C6354"/>
    <w:rsid w:val="000C6EE8"/>
    <w:rsid w:val="000D27F7"/>
    <w:rsid w:val="000D2FC3"/>
    <w:rsid w:val="000E0911"/>
    <w:rsid w:val="000E0AC7"/>
    <w:rsid w:val="000E2674"/>
    <w:rsid w:val="000E574D"/>
    <w:rsid w:val="000E7ABE"/>
    <w:rsid w:val="000F1893"/>
    <w:rsid w:val="000F38A9"/>
    <w:rsid w:val="000F3C46"/>
    <w:rsid w:val="000F4458"/>
    <w:rsid w:val="000F64D0"/>
    <w:rsid w:val="000F698B"/>
    <w:rsid w:val="00101989"/>
    <w:rsid w:val="00102BC7"/>
    <w:rsid w:val="00103375"/>
    <w:rsid w:val="00106D4F"/>
    <w:rsid w:val="00107781"/>
    <w:rsid w:val="00112ED5"/>
    <w:rsid w:val="001139EA"/>
    <w:rsid w:val="00120B10"/>
    <w:rsid w:val="001214C4"/>
    <w:rsid w:val="00122D5F"/>
    <w:rsid w:val="00125580"/>
    <w:rsid w:val="001264C9"/>
    <w:rsid w:val="0012C5C1"/>
    <w:rsid w:val="001301B3"/>
    <w:rsid w:val="00133B08"/>
    <w:rsid w:val="00140DF2"/>
    <w:rsid w:val="001426D1"/>
    <w:rsid w:val="00142A29"/>
    <w:rsid w:val="00150641"/>
    <w:rsid w:val="001521E9"/>
    <w:rsid w:val="001530ED"/>
    <w:rsid w:val="0015754B"/>
    <w:rsid w:val="00160A28"/>
    <w:rsid w:val="0016281F"/>
    <w:rsid w:val="00164B0B"/>
    <w:rsid w:val="0016531D"/>
    <w:rsid w:val="00165D60"/>
    <w:rsid w:val="001674AA"/>
    <w:rsid w:val="0017005C"/>
    <w:rsid w:val="0017142E"/>
    <w:rsid w:val="0017493B"/>
    <w:rsid w:val="001753ED"/>
    <w:rsid w:val="0017661C"/>
    <w:rsid w:val="00177D63"/>
    <w:rsid w:val="00182000"/>
    <w:rsid w:val="001823D6"/>
    <w:rsid w:val="00182D38"/>
    <w:rsid w:val="00185D7C"/>
    <w:rsid w:val="00193688"/>
    <w:rsid w:val="00193942"/>
    <w:rsid w:val="001A0E91"/>
    <w:rsid w:val="001A1215"/>
    <w:rsid w:val="001A1FCB"/>
    <w:rsid w:val="001B160E"/>
    <w:rsid w:val="001B287F"/>
    <w:rsid w:val="001B30F5"/>
    <w:rsid w:val="001B4A58"/>
    <w:rsid w:val="001B7DE7"/>
    <w:rsid w:val="001C38EC"/>
    <w:rsid w:val="001D198A"/>
    <w:rsid w:val="001D3D42"/>
    <w:rsid w:val="001D6AF4"/>
    <w:rsid w:val="001E45E4"/>
    <w:rsid w:val="001E488D"/>
    <w:rsid w:val="001F2328"/>
    <w:rsid w:val="001F28A0"/>
    <w:rsid w:val="001F3535"/>
    <w:rsid w:val="001F3DA7"/>
    <w:rsid w:val="001F5966"/>
    <w:rsid w:val="001F596B"/>
    <w:rsid w:val="001F64A1"/>
    <w:rsid w:val="001F7687"/>
    <w:rsid w:val="00201584"/>
    <w:rsid w:val="00202299"/>
    <w:rsid w:val="00202C95"/>
    <w:rsid w:val="002039CF"/>
    <w:rsid w:val="00207BB0"/>
    <w:rsid w:val="00216F30"/>
    <w:rsid w:val="002266CD"/>
    <w:rsid w:val="002278F0"/>
    <w:rsid w:val="0023448D"/>
    <w:rsid w:val="0023532A"/>
    <w:rsid w:val="002403FE"/>
    <w:rsid w:val="00240A22"/>
    <w:rsid w:val="00240AF8"/>
    <w:rsid w:val="00244060"/>
    <w:rsid w:val="00244271"/>
    <w:rsid w:val="002447D2"/>
    <w:rsid w:val="002451CD"/>
    <w:rsid w:val="00245841"/>
    <w:rsid w:val="002460D2"/>
    <w:rsid w:val="0024635F"/>
    <w:rsid w:val="002472F8"/>
    <w:rsid w:val="0025095E"/>
    <w:rsid w:val="00250F89"/>
    <w:rsid w:val="00251711"/>
    <w:rsid w:val="00252C72"/>
    <w:rsid w:val="0025424B"/>
    <w:rsid w:val="002545A0"/>
    <w:rsid w:val="00256F31"/>
    <w:rsid w:val="00261346"/>
    <w:rsid w:val="002615D6"/>
    <w:rsid w:val="00262B1C"/>
    <w:rsid w:val="002662C1"/>
    <w:rsid w:val="0027093A"/>
    <w:rsid w:val="002732E9"/>
    <w:rsid w:val="00274E45"/>
    <w:rsid w:val="002757D7"/>
    <w:rsid w:val="00275FC1"/>
    <w:rsid w:val="00276E09"/>
    <w:rsid w:val="002776C1"/>
    <w:rsid w:val="00280BF3"/>
    <w:rsid w:val="00282AB7"/>
    <w:rsid w:val="00283251"/>
    <w:rsid w:val="0028485A"/>
    <w:rsid w:val="00284D82"/>
    <w:rsid w:val="00287425"/>
    <w:rsid w:val="00290C62"/>
    <w:rsid w:val="00292C89"/>
    <w:rsid w:val="00293172"/>
    <w:rsid w:val="00293461"/>
    <w:rsid w:val="00295360"/>
    <w:rsid w:val="0029596E"/>
    <w:rsid w:val="00297C3A"/>
    <w:rsid w:val="002A135D"/>
    <w:rsid w:val="002A3A96"/>
    <w:rsid w:val="002B1654"/>
    <w:rsid w:val="002B50C6"/>
    <w:rsid w:val="002B5E55"/>
    <w:rsid w:val="002C0EA6"/>
    <w:rsid w:val="002C12D8"/>
    <w:rsid w:val="002C3EE2"/>
    <w:rsid w:val="002C6177"/>
    <w:rsid w:val="002C6954"/>
    <w:rsid w:val="002C6982"/>
    <w:rsid w:val="002D08D4"/>
    <w:rsid w:val="002D21C8"/>
    <w:rsid w:val="002D2936"/>
    <w:rsid w:val="002D45E8"/>
    <w:rsid w:val="002D51C8"/>
    <w:rsid w:val="002D5C8C"/>
    <w:rsid w:val="002D7387"/>
    <w:rsid w:val="002D751D"/>
    <w:rsid w:val="002E040B"/>
    <w:rsid w:val="002E15C1"/>
    <w:rsid w:val="002E171E"/>
    <w:rsid w:val="002E1D09"/>
    <w:rsid w:val="002E2C4E"/>
    <w:rsid w:val="002E3254"/>
    <w:rsid w:val="002F069D"/>
    <w:rsid w:val="002F3A5A"/>
    <w:rsid w:val="002F45FA"/>
    <w:rsid w:val="002F6754"/>
    <w:rsid w:val="002F7A6D"/>
    <w:rsid w:val="002F7D07"/>
    <w:rsid w:val="00300652"/>
    <w:rsid w:val="003034B6"/>
    <w:rsid w:val="00305B63"/>
    <w:rsid w:val="00305FDF"/>
    <w:rsid w:val="00311BC0"/>
    <w:rsid w:val="00311D5C"/>
    <w:rsid w:val="00312CC9"/>
    <w:rsid w:val="003133D4"/>
    <w:rsid w:val="00313C26"/>
    <w:rsid w:val="003143EA"/>
    <w:rsid w:val="00316C8B"/>
    <w:rsid w:val="00317D18"/>
    <w:rsid w:val="00320ECC"/>
    <w:rsid w:val="00322905"/>
    <w:rsid w:val="00322DBC"/>
    <w:rsid w:val="0032409F"/>
    <w:rsid w:val="0032698C"/>
    <w:rsid w:val="00331358"/>
    <w:rsid w:val="00334248"/>
    <w:rsid w:val="003349F0"/>
    <w:rsid w:val="003368BF"/>
    <w:rsid w:val="003408E6"/>
    <w:rsid w:val="0034230A"/>
    <w:rsid w:val="00343908"/>
    <w:rsid w:val="00343F97"/>
    <w:rsid w:val="0034619D"/>
    <w:rsid w:val="00353219"/>
    <w:rsid w:val="00353C3A"/>
    <w:rsid w:val="00355FB5"/>
    <w:rsid w:val="0035617C"/>
    <w:rsid w:val="00357ABD"/>
    <w:rsid w:val="00360D58"/>
    <w:rsid w:val="00361B46"/>
    <w:rsid w:val="00365BA8"/>
    <w:rsid w:val="0037137A"/>
    <w:rsid w:val="00371F45"/>
    <w:rsid w:val="00373EBB"/>
    <w:rsid w:val="003770C4"/>
    <w:rsid w:val="0037742E"/>
    <w:rsid w:val="003807A0"/>
    <w:rsid w:val="00382CEE"/>
    <w:rsid w:val="0038617D"/>
    <w:rsid w:val="00391253"/>
    <w:rsid w:val="00391C99"/>
    <w:rsid w:val="0039301F"/>
    <w:rsid w:val="003A1A75"/>
    <w:rsid w:val="003A24C3"/>
    <w:rsid w:val="003A2D65"/>
    <w:rsid w:val="003A39CB"/>
    <w:rsid w:val="003A3DC5"/>
    <w:rsid w:val="003A4E0B"/>
    <w:rsid w:val="003A4F8F"/>
    <w:rsid w:val="003A5178"/>
    <w:rsid w:val="003A61AD"/>
    <w:rsid w:val="003B20B9"/>
    <w:rsid w:val="003B2F85"/>
    <w:rsid w:val="003B4D40"/>
    <w:rsid w:val="003B56E8"/>
    <w:rsid w:val="003B5C87"/>
    <w:rsid w:val="003B6DA1"/>
    <w:rsid w:val="003B7891"/>
    <w:rsid w:val="003C0766"/>
    <w:rsid w:val="003C3AEA"/>
    <w:rsid w:val="003C40B1"/>
    <w:rsid w:val="003C4F93"/>
    <w:rsid w:val="003C556D"/>
    <w:rsid w:val="003D03AF"/>
    <w:rsid w:val="003D1B7F"/>
    <w:rsid w:val="003D5B34"/>
    <w:rsid w:val="003D6483"/>
    <w:rsid w:val="003D75DF"/>
    <w:rsid w:val="003E03C9"/>
    <w:rsid w:val="003E20A3"/>
    <w:rsid w:val="003E2EFA"/>
    <w:rsid w:val="003E4335"/>
    <w:rsid w:val="003E69E8"/>
    <w:rsid w:val="003F16EB"/>
    <w:rsid w:val="003F1D71"/>
    <w:rsid w:val="003F2343"/>
    <w:rsid w:val="003F2C36"/>
    <w:rsid w:val="003F4847"/>
    <w:rsid w:val="003F6025"/>
    <w:rsid w:val="003F696C"/>
    <w:rsid w:val="003F7C47"/>
    <w:rsid w:val="00401542"/>
    <w:rsid w:val="00403E5B"/>
    <w:rsid w:val="004051E4"/>
    <w:rsid w:val="00407495"/>
    <w:rsid w:val="004102BD"/>
    <w:rsid w:val="00412F4F"/>
    <w:rsid w:val="00413163"/>
    <w:rsid w:val="00414AAC"/>
    <w:rsid w:val="00417437"/>
    <w:rsid w:val="004249B7"/>
    <w:rsid w:val="00425AAF"/>
    <w:rsid w:val="00431A14"/>
    <w:rsid w:val="00432ED1"/>
    <w:rsid w:val="004418E2"/>
    <w:rsid w:val="004461F6"/>
    <w:rsid w:val="00447766"/>
    <w:rsid w:val="004479DB"/>
    <w:rsid w:val="00452AFA"/>
    <w:rsid w:val="00453A4A"/>
    <w:rsid w:val="00453C32"/>
    <w:rsid w:val="004547D9"/>
    <w:rsid w:val="00455A8D"/>
    <w:rsid w:val="00457BB6"/>
    <w:rsid w:val="004612D5"/>
    <w:rsid w:val="00461D5E"/>
    <w:rsid w:val="00462B1A"/>
    <w:rsid w:val="00463DE5"/>
    <w:rsid w:val="0046487B"/>
    <w:rsid w:val="0046611E"/>
    <w:rsid w:val="00471A1D"/>
    <w:rsid w:val="00472EA6"/>
    <w:rsid w:val="00473D51"/>
    <w:rsid w:val="0047784A"/>
    <w:rsid w:val="00477D69"/>
    <w:rsid w:val="0048061E"/>
    <w:rsid w:val="004809CC"/>
    <w:rsid w:val="00480CEF"/>
    <w:rsid w:val="004858AA"/>
    <w:rsid w:val="00486B02"/>
    <w:rsid w:val="00490414"/>
    <w:rsid w:val="00491F16"/>
    <w:rsid w:val="00492894"/>
    <w:rsid w:val="00493906"/>
    <w:rsid w:val="0049474D"/>
    <w:rsid w:val="00494F75"/>
    <w:rsid w:val="004A4660"/>
    <w:rsid w:val="004A542B"/>
    <w:rsid w:val="004A57C3"/>
    <w:rsid w:val="004A5EDE"/>
    <w:rsid w:val="004A6B68"/>
    <w:rsid w:val="004A6C49"/>
    <w:rsid w:val="004B165B"/>
    <w:rsid w:val="004B2848"/>
    <w:rsid w:val="004B3A4B"/>
    <w:rsid w:val="004B4194"/>
    <w:rsid w:val="004B52F5"/>
    <w:rsid w:val="004C0A1F"/>
    <w:rsid w:val="004C129A"/>
    <w:rsid w:val="004C2CD7"/>
    <w:rsid w:val="004D2A41"/>
    <w:rsid w:val="004D606E"/>
    <w:rsid w:val="004E211B"/>
    <w:rsid w:val="004E237D"/>
    <w:rsid w:val="004E567C"/>
    <w:rsid w:val="004E5763"/>
    <w:rsid w:val="004E5D96"/>
    <w:rsid w:val="004E7E2C"/>
    <w:rsid w:val="004F1147"/>
    <w:rsid w:val="004F6983"/>
    <w:rsid w:val="004F6CB7"/>
    <w:rsid w:val="005003EA"/>
    <w:rsid w:val="00501673"/>
    <w:rsid w:val="00501CDF"/>
    <w:rsid w:val="00501F95"/>
    <w:rsid w:val="00503CBF"/>
    <w:rsid w:val="00514D21"/>
    <w:rsid w:val="0051728F"/>
    <w:rsid w:val="0052112C"/>
    <w:rsid w:val="00522F35"/>
    <w:rsid w:val="00525B15"/>
    <w:rsid w:val="00530621"/>
    <w:rsid w:val="005336B6"/>
    <w:rsid w:val="00533C73"/>
    <w:rsid w:val="00535FA1"/>
    <w:rsid w:val="005401B1"/>
    <w:rsid w:val="00540994"/>
    <w:rsid w:val="00543222"/>
    <w:rsid w:val="005436F3"/>
    <w:rsid w:val="0054632B"/>
    <w:rsid w:val="00550D1B"/>
    <w:rsid w:val="00556CFE"/>
    <w:rsid w:val="00566437"/>
    <w:rsid w:val="00567695"/>
    <w:rsid w:val="00570E26"/>
    <w:rsid w:val="00571DA9"/>
    <w:rsid w:val="00572BD8"/>
    <w:rsid w:val="0057499E"/>
    <w:rsid w:val="005750FE"/>
    <w:rsid w:val="00582471"/>
    <w:rsid w:val="0058259E"/>
    <w:rsid w:val="0058363A"/>
    <w:rsid w:val="0058377F"/>
    <w:rsid w:val="00585076"/>
    <w:rsid w:val="00585734"/>
    <w:rsid w:val="00586AF6"/>
    <w:rsid w:val="00592D0C"/>
    <w:rsid w:val="00592ECD"/>
    <w:rsid w:val="00592F2C"/>
    <w:rsid w:val="00594A46"/>
    <w:rsid w:val="00597466"/>
    <w:rsid w:val="005A1FE0"/>
    <w:rsid w:val="005A2314"/>
    <w:rsid w:val="005A3A42"/>
    <w:rsid w:val="005A3DF6"/>
    <w:rsid w:val="005B0393"/>
    <w:rsid w:val="005B1EDD"/>
    <w:rsid w:val="005B33C5"/>
    <w:rsid w:val="005B7E00"/>
    <w:rsid w:val="005C3064"/>
    <w:rsid w:val="005C481B"/>
    <w:rsid w:val="005C6445"/>
    <w:rsid w:val="005D0AF5"/>
    <w:rsid w:val="005D0B2A"/>
    <w:rsid w:val="005D1CA9"/>
    <w:rsid w:val="005D3016"/>
    <w:rsid w:val="005D3929"/>
    <w:rsid w:val="005D41B4"/>
    <w:rsid w:val="005D66FB"/>
    <w:rsid w:val="005D76A4"/>
    <w:rsid w:val="005D796A"/>
    <w:rsid w:val="005E1D73"/>
    <w:rsid w:val="005E3183"/>
    <w:rsid w:val="005E36B9"/>
    <w:rsid w:val="005E407F"/>
    <w:rsid w:val="005E7A4F"/>
    <w:rsid w:val="005F2393"/>
    <w:rsid w:val="005F28C8"/>
    <w:rsid w:val="005F2FEF"/>
    <w:rsid w:val="005F3CD5"/>
    <w:rsid w:val="005F4C84"/>
    <w:rsid w:val="005F5CEE"/>
    <w:rsid w:val="00602CE0"/>
    <w:rsid w:val="00606AC4"/>
    <w:rsid w:val="006105F9"/>
    <w:rsid w:val="0061263B"/>
    <w:rsid w:val="0061344D"/>
    <w:rsid w:val="00613B14"/>
    <w:rsid w:val="00614FED"/>
    <w:rsid w:val="00615DFC"/>
    <w:rsid w:val="00620104"/>
    <w:rsid w:val="00620517"/>
    <w:rsid w:val="006228B3"/>
    <w:rsid w:val="00623BA5"/>
    <w:rsid w:val="00624F80"/>
    <w:rsid w:val="00626A92"/>
    <w:rsid w:val="00630643"/>
    <w:rsid w:val="00631E9B"/>
    <w:rsid w:val="006334FF"/>
    <w:rsid w:val="0063757D"/>
    <w:rsid w:val="006413E5"/>
    <w:rsid w:val="00643C89"/>
    <w:rsid w:val="0064524D"/>
    <w:rsid w:val="0065089C"/>
    <w:rsid w:val="006517E7"/>
    <w:rsid w:val="00656282"/>
    <w:rsid w:val="006631D4"/>
    <w:rsid w:val="006637AA"/>
    <w:rsid w:val="006639E5"/>
    <w:rsid w:val="00667764"/>
    <w:rsid w:val="006701CC"/>
    <w:rsid w:val="006820B0"/>
    <w:rsid w:val="00684B20"/>
    <w:rsid w:val="00696093"/>
    <w:rsid w:val="006A1F59"/>
    <w:rsid w:val="006A73E5"/>
    <w:rsid w:val="006B6FF0"/>
    <w:rsid w:val="006C0794"/>
    <w:rsid w:val="006C0FE8"/>
    <w:rsid w:val="006C57DE"/>
    <w:rsid w:val="006C5B79"/>
    <w:rsid w:val="006C73B0"/>
    <w:rsid w:val="006D020C"/>
    <w:rsid w:val="006D1F81"/>
    <w:rsid w:val="006D2754"/>
    <w:rsid w:val="006D2D9B"/>
    <w:rsid w:val="006D31FF"/>
    <w:rsid w:val="006D3C2C"/>
    <w:rsid w:val="006D45FF"/>
    <w:rsid w:val="006E073B"/>
    <w:rsid w:val="006E2773"/>
    <w:rsid w:val="006E41AC"/>
    <w:rsid w:val="006E4740"/>
    <w:rsid w:val="006E60C6"/>
    <w:rsid w:val="006E664A"/>
    <w:rsid w:val="006E6FB6"/>
    <w:rsid w:val="006F11FC"/>
    <w:rsid w:val="006F18F4"/>
    <w:rsid w:val="006F4550"/>
    <w:rsid w:val="006F684D"/>
    <w:rsid w:val="006F7823"/>
    <w:rsid w:val="00700379"/>
    <w:rsid w:val="00703246"/>
    <w:rsid w:val="00703512"/>
    <w:rsid w:val="0070379B"/>
    <w:rsid w:val="007107D8"/>
    <w:rsid w:val="00711099"/>
    <w:rsid w:val="00715A42"/>
    <w:rsid w:val="007163C4"/>
    <w:rsid w:val="00716EE0"/>
    <w:rsid w:val="00716F39"/>
    <w:rsid w:val="00720E53"/>
    <w:rsid w:val="00721EFD"/>
    <w:rsid w:val="00730481"/>
    <w:rsid w:val="00730B75"/>
    <w:rsid w:val="0073166C"/>
    <w:rsid w:val="00731BDA"/>
    <w:rsid w:val="007364F8"/>
    <w:rsid w:val="007378C9"/>
    <w:rsid w:val="00737A21"/>
    <w:rsid w:val="00740080"/>
    <w:rsid w:val="00741EA0"/>
    <w:rsid w:val="00743778"/>
    <w:rsid w:val="00745ABD"/>
    <w:rsid w:val="00745B76"/>
    <w:rsid w:val="00746252"/>
    <w:rsid w:val="00748A83"/>
    <w:rsid w:val="00750937"/>
    <w:rsid w:val="00753932"/>
    <w:rsid w:val="007565D1"/>
    <w:rsid w:val="00761B10"/>
    <w:rsid w:val="0076282D"/>
    <w:rsid w:val="007724FE"/>
    <w:rsid w:val="007810C6"/>
    <w:rsid w:val="00782AA3"/>
    <w:rsid w:val="00784407"/>
    <w:rsid w:val="00784B14"/>
    <w:rsid w:val="00784D34"/>
    <w:rsid w:val="00784DD2"/>
    <w:rsid w:val="00786624"/>
    <w:rsid w:val="007901FA"/>
    <w:rsid w:val="00791E06"/>
    <w:rsid w:val="00793456"/>
    <w:rsid w:val="0079358A"/>
    <w:rsid w:val="00796E41"/>
    <w:rsid w:val="007A6465"/>
    <w:rsid w:val="007A7CFD"/>
    <w:rsid w:val="007B0D8F"/>
    <w:rsid w:val="007B0E3C"/>
    <w:rsid w:val="007B0E44"/>
    <w:rsid w:val="007B3591"/>
    <w:rsid w:val="007B3D82"/>
    <w:rsid w:val="007B4125"/>
    <w:rsid w:val="007B5585"/>
    <w:rsid w:val="007B5FAA"/>
    <w:rsid w:val="007B662E"/>
    <w:rsid w:val="007B7A2B"/>
    <w:rsid w:val="007C075D"/>
    <w:rsid w:val="007C2733"/>
    <w:rsid w:val="007C5682"/>
    <w:rsid w:val="007C5818"/>
    <w:rsid w:val="007C75EC"/>
    <w:rsid w:val="007C7618"/>
    <w:rsid w:val="007C7AAE"/>
    <w:rsid w:val="007D21C5"/>
    <w:rsid w:val="007D2583"/>
    <w:rsid w:val="007D3BD5"/>
    <w:rsid w:val="007D4DC6"/>
    <w:rsid w:val="007D764D"/>
    <w:rsid w:val="007D7AFB"/>
    <w:rsid w:val="007E0D9A"/>
    <w:rsid w:val="007E166C"/>
    <w:rsid w:val="007E3937"/>
    <w:rsid w:val="007E7B41"/>
    <w:rsid w:val="007F0907"/>
    <w:rsid w:val="007F0E37"/>
    <w:rsid w:val="007F2D0F"/>
    <w:rsid w:val="007F32F6"/>
    <w:rsid w:val="007F414E"/>
    <w:rsid w:val="007F51FC"/>
    <w:rsid w:val="007F70CF"/>
    <w:rsid w:val="008003C1"/>
    <w:rsid w:val="008012AE"/>
    <w:rsid w:val="00802F33"/>
    <w:rsid w:val="00803335"/>
    <w:rsid w:val="00803480"/>
    <w:rsid w:val="0080393A"/>
    <w:rsid w:val="00804C6A"/>
    <w:rsid w:val="00804E78"/>
    <w:rsid w:val="008070CE"/>
    <w:rsid w:val="00810F18"/>
    <w:rsid w:val="00812DEA"/>
    <w:rsid w:val="00813288"/>
    <w:rsid w:val="008157B9"/>
    <w:rsid w:val="00822E5C"/>
    <w:rsid w:val="00823CC6"/>
    <w:rsid w:val="00823E55"/>
    <w:rsid w:val="00824C2A"/>
    <w:rsid w:val="00826B8A"/>
    <w:rsid w:val="0083067F"/>
    <w:rsid w:val="00832277"/>
    <w:rsid w:val="0083273D"/>
    <w:rsid w:val="00833998"/>
    <w:rsid w:val="0084077C"/>
    <w:rsid w:val="00841532"/>
    <w:rsid w:val="008426DC"/>
    <w:rsid w:val="0084496E"/>
    <w:rsid w:val="00847F44"/>
    <w:rsid w:val="00854E7B"/>
    <w:rsid w:val="008556FB"/>
    <w:rsid w:val="00855A66"/>
    <w:rsid w:val="00857DE2"/>
    <w:rsid w:val="00862401"/>
    <w:rsid w:val="00863057"/>
    <w:rsid w:val="008647BF"/>
    <w:rsid w:val="00864BD8"/>
    <w:rsid w:val="0086561F"/>
    <w:rsid w:val="00866048"/>
    <w:rsid w:val="008671AE"/>
    <w:rsid w:val="00870804"/>
    <w:rsid w:val="00870A99"/>
    <w:rsid w:val="00875868"/>
    <w:rsid w:val="008774F2"/>
    <w:rsid w:val="008817C0"/>
    <w:rsid w:val="008824D5"/>
    <w:rsid w:val="00882563"/>
    <w:rsid w:val="008832B1"/>
    <w:rsid w:val="008852D1"/>
    <w:rsid w:val="00887087"/>
    <w:rsid w:val="00890A40"/>
    <w:rsid w:val="008921C9"/>
    <w:rsid w:val="00894DD2"/>
    <w:rsid w:val="00895899"/>
    <w:rsid w:val="008A11B8"/>
    <w:rsid w:val="008A1B24"/>
    <w:rsid w:val="008A3B3C"/>
    <w:rsid w:val="008A4DFB"/>
    <w:rsid w:val="008A6A26"/>
    <w:rsid w:val="008A7364"/>
    <w:rsid w:val="008A7C7E"/>
    <w:rsid w:val="008B3460"/>
    <w:rsid w:val="008B34B7"/>
    <w:rsid w:val="008B46BF"/>
    <w:rsid w:val="008B4FC5"/>
    <w:rsid w:val="008B6B97"/>
    <w:rsid w:val="008C0846"/>
    <w:rsid w:val="008C0E5C"/>
    <w:rsid w:val="008C1A00"/>
    <w:rsid w:val="008C34A4"/>
    <w:rsid w:val="008C3ED6"/>
    <w:rsid w:val="008C4839"/>
    <w:rsid w:val="008C58F3"/>
    <w:rsid w:val="008C5FA8"/>
    <w:rsid w:val="008C6058"/>
    <w:rsid w:val="008C6E6B"/>
    <w:rsid w:val="008C7819"/>
    <w:rsid w:val="008D0E8F"/>
    <w:rsid w:val="008D25F0"/>
    <w:rsid w:val="008D43AE"/>
    <w:rsid w:val="008D5598"/>
    <w:rsid w:val="008D58A3"/>
    <w:rsid w:val="008D7C4B"/>
    <w:rsid w:val="008E0B10"/>
    <w:rsid w:val="008E41E0"/>
    <w:rsid w:val="008E46F6"/>
    <w:rsid w:val="008E6913"/>
    <w:rsid w:val="008E74D4"/>
    <w:rsid w:val="008F4815"/>
    <w:rsid w:val="008F641B"/>
    <w:rsid w:val="008F69D9"/>
    <w:rsid w:val="00900554"/>
    <w:rsid w:val="00900D97"/>
    <w:rsid w:val="00902DC8"/>
    <w:rsid w:val="009050E4"/>
    <w:rsid w:val="009050F2"/>
    <w:rsid w:val="00905CFA"/>
    <w:rsid w:val="00906290"/>
    <w:rsid w:val="0090697B"/>
    <w:rsid w:val="0090733C"/>
    <w:rsid w:val="00910BA5"/>
    <w:rsid w:val="0091181A"/>
    <w:rsid w:val="00912ECE"/>
    <w:rsid w:val="00913638"/>
    <w:rsid w:val="0091384D"/>
    <w:rsid w:val="00913D38"/>
    <w:rsid w:val="009151CC"/>
    <w:rsid w:val="009170A6"/>
    <w:rsid w:val="00917C78"/>
    <w:rsid w:val="009205CC"/>
    <w:rsid w:val="0092585F"/>
    <w:rsid w:val="009274C3"/>
    <w:rsid w:val="0093467E"/>
    <w:rsid w:val="0093A85E"/>
    <w:rsid w:val="0094552E"/>
    <w:rsid w:val="00946A5E"/>
    <w:rsid w:val="009478FA"/>
    <w:rsid w:val="00954A92"/>
    <w:rsid w:val="00954E10"/>
    <w:rsid w:val="00954FCD"/>
    <w:rsid w:val="00955782"/>
    <w:rsid w:val="0095625E"/>
    <w:rsid w:val="009569A4"/>
    <w:rsid w:val="00963F19"/>
    <w:rsid w:val="00964DA3"/>
    <w:rsid w:val="0097059D"/>
    <w:rsid w:val="00973DA1"/>
    <w:rsid w:val="009749FB"/>
    <w:rsid w:val="00976850"/>
    <w:rsid w:val="009769FD"/>
    <w:rsid w:val="00981B1F"/>
    <w:rsid w:val="009822A0"/>
    <w:rsid w:val="00983623"/>
    <w:rsid w:val="009844D6"/>
    <w:rsid w:val="00985DDD"/>
    <w:rsid w:val="00986FCF"/>
    <w:rsid w:val="00990DF0"/>
    <w:rsid w:val="009917E0"/>
    <w:rsid w:val="00995454"/>
    <w:rsid w:val="00997154"/>
    <w:rsid w:val="009A1988"/>
    <w:rsid w:val="009A2382"/>
    <w:rsid w:val="009A2B46"/>
    <w:rsid w:val="009A3A69"/>
    <w:rsid w:val="009A4CE7"/>
    <w:rsid w:val="009A7FB1"/>
    <w:rsid w:val="009B1F9E"/>
    <w:rsid w:val="009B236D"/>
    <w:rsid w:val="009B23A3"/>
    <w:rsid w:val="009B5524"/>
    <w:rsid w:val="009B608A"/>
    <w:rsid w:val="009B64A5"/>
    <w:rsid w:val="009C23E9"/>
    <w:rsid w:val="009C374A"/>
    <w:rsid w:val="009C388E"/>
    <w:rsid w:val="009C5744"/>
    <w:rsid w:val="009C5D53"/>
    <w:rsid w:val="009C7517"/>
    <w:rsid w:val="009C772A"/>
    <w:rsid w:val="009C7C17"/>
    <w:rsid w:val="009D2622"/>
    <w:rsid w:val="009D2F89"/>
    <w:rsid w:val="009D37DD"/>
    <w:rsid w:val="009D3EC0"/>
    <w:rsid w:val="009D4D64"/>
    <w:rsid w:val="009D512E"/>
    <w:rsid w:val="009D627E"/>
    <w:rsid w:val="009E0E5D"/>
    <w:rsid w:val="009E43CE"/>
    <w:rsid w:val="009E5F48"/>
    <w:rsid w:val="009E62A6"/>
    <w:rsid w:val="009E6B9B"/>
    <w:rsid w:val="009F3090"/>
    <w:rsid w:val="009F6615"/>
    <w:rsid w:val="00A00174"/>
    <w:rsid w:val="00A0292D"/>
    <w:rsid w:val="00A04619"/>
    <w:rsid w:val="00A046B2"/>
    <w:rsid w:val="00A04A45"/>
    <w:rsid w:val="00A05BDC"/>
    <w:rsid w:val="00A07565"/>
    <w:rsid w:val="00A10927"/>
    <w:rsid w:val="00A1201A"/>
    <w:rsid w:val="00A12BF0"/>
    <w:rsid w:val="00A17304"/>
    <w:rsid w:val="00A178C9"/>
    <w:rsid w:val="00A215F0"/>
    <w:rsid w:val="00A21CBB"/>
    <w:rsid w:val="00A226B1"/>
    <w:rsid w:val="00A24BEF"/>
    <w:rsid w:val="00A24D1F"/>
    <w:rsid w:val="00A25074"/>
    <w:rsid w:val="00A256F4"/>
    <w:rsid w:val="00A25A48"/>
    <w:rsid w:val="00A26AB3"/>
    <w:rsid w:val="00A2B78A"/>
    <w:rsid w:val="00A31D85"/>
    <w:rsid w:val="00A3488D"/>
    <w:rsid w:val="00A34A3E"/>
    <w:rsid w:val="00A36FB0"/>
    <w:rsid w:val="00A3767F"/>
    <w:rsid w:val="00A404EF"/>
    <w:rsid w:val="00A4325D"/>
    <w:rsid w:val="00A43C64"/>
    <w:rsid w:val="00A458E4"/>
    <w:rsid w:val="00A47673"/>
    <w:rsid w:val="00A54927"/>
    <w:rsid w:val="00A5718D"/>
    <w:rsid w:val="00A5744E"/>
    <w:rsid w:val="00A57FC2"/>
    <w:rsid w:val="00A6158C"/>
    <w:rsid w:val="00A62DF9"/>
    <w:rsid w:val="00A62EBC"/>
    <w:rsid w:val="00A63172"/>
    <w:rsid w:val="00A66083"/>
    <w:rsid w:val="00A67890"/>
    <w:rsid w:val="00A67D4E"/>
    <w:rsid w:val="00A67F0B"/>
    <w:rsid w:val="00A702CC"/>
    <w:rsid w:val="00A70E95"/>
    <w:rsid w:val="00A71DDB"/>
    <w:rsid w:val="00A7385F"/>
    <w:rsid w:val="00A75647"/>
    <w:rsid w:val="00A775FC"/>
    <w:rsid w:val="00A81112"/>
    <w:rsid w:val="00A865A2"/>
    <w:rsid w:val="00A866F4"/>
    <w:rsid w:val="00A8683D"/>
    <w:rsid w:val="00A86F53"/>
    <w:rsid w:val="00A87742"/>
    <w:rsid w:val="00A97556"/>
    <w:rsid w:val="00A97D65"/>
    <w:rsid w:val="00AA1525"/>
    <w:rsid w:val="00AA200C"/>
    <w:rsid w:val="00AA354E"/>
    <w:rsid w:val="00AA4A12"/>
    <w:rsid w:val="00AA67B6"/>
    <w:rsid w:val="00AA6E99"/>
    <w:rsid w:val="00AA773C"/>
    <w:rsid w:val="00AB2567"/>
    <w:rsid w:val="00AB2680"/>
    <w:rsid w:val="00AB45C6"/>
    <w:rsid w:val="00AC0BFD"/>
    <w:rsid w:val="00AC1FFD"/>
    <w:rsid w:val="00AC24CE"/>
    <w:rsid w:val="00AC5237"/>
    <w:rsid w:val="00AC55E9"/>
    <w:rsid w:val="00AD25E3"/>
    <w:rsid w:val="00AD420B"/>
    <w:rsid w:val="00AE3C66"/>
    <w:rsid w:val="00AE498D"/>
    <w:rsid w:val="00AE50B4"/>
    <w:rsid w:val="00AE597D"/>
    <w:rsid w:val="00AE6D58"/>
    <w:rsid w:val="00AE75D5"/>
    <w:rsid w:val="00AF029B"/>
    <w:rsid w:val="00AF18EE"/>
    <w:rsid w:val="00AF430A"/>
    <w:rsid w:val="00B00D0C"/>
    <w:rsid w:val="00B042B9"/>
    <w:rsid w:val="00B05696"/>
    <w:rsid w:val="00B057EE"/>
    <w:rsid w:val="00B064D8"/>
    <w:rsid w:val="00B0719B"/>
    <w:rsid w:val="00B11FB5"/>
    <w:rsid w:val="00B1207F"/>
    <w:rsid w:val="00B127EF"/>
    <w:rsid w:val="00B12E08"/>
    <w:rsid w:val="00B131DC"/>
    <w:rsid w:val="00B14004"/>
    <w:rsid w:val="00B2044A"/>
    <w:rsid w:val="00B255BD"/>
    <w:rsid w:val="00B2598A"/>
    <w:rsid w:val="00B2605B"/>
    <w:rsid w:val="00B27845"/>
    <w:rsid w:val="00B2797F"/>
    <w:rsid w:val="00B34D6B"/>
    <w:rsid w:val="00B363B2"/>
    <w:rsid w:val="00B41E6D"/>
    <w:rsid w:val="00B44463"/>
    <w:rsid w:val="00B4478C"/>
    <w:rsid w:val="00B4523D"/>
    <w:rsid w:val="00B45BB1"/>
    <w:rsid w:val="00B52F3D"/>
    <w:rsid w:val="00B53B39"/>
    <w:rsid w:val="00B558D2"/>
    <w:rsid w:val="00B5B3B7"/>
    <w:rsid w:val="00B60C60"/>
    <w:rsid w:val="00B63EA5"/>
    <w:rsid w:val="00B66B85"/>
    <w:rsid w:val="00B678B5"/>
    <w:rsid w:val="00B704DC"/>
    <w:rsid w:val="00B71182"/>
    <w:rsid w:val="00B72D35"/>
    <w:rsid w:val="00B74E30"/>
    <w:rsid w:val="00B7A05B"/>
    <w:rsid w:val="00B800E8"/>
    <w:rsid w:val="00B82E98"/>
    <w:rsid w:val="00B84FFA"/>
    <w:rsid w:val="00B86392"/>
    <w:rsid w:val="00B87DA2"/>
    <w:rsid w:val="00B91286"/>
    <w:rsid w:val="00B91C47"/>
    <w:rsid w:val="00B91CA3"/>
    <w:rsid w:val="00B941A7"/>
    <w:rsid w:val="00B94AF5"/>
    <w:rsid w:val="00B95EB6"/>
    <w:rsid w:val="00BA0B7B"/>
    <w:rsid w:val="00BA5C1F"/>
    <w:rsid w:val="00BB374D"/>
    <w:rsid w:val="00BB3B85"/>
    <w:rsid w:val="00BB45E2"/>
    <w:rsid w:val="00BB4F0D"/>
    <w:rsid w:val="00BB6D42"/>
    <w:rsid w:val="00BC0484"/>
    <w:rsid w:val="00BC0AD2"/>
    <w:rsid w:val="00BC2E3D"/>
    <w:rsid w:val="00BC7BCF"/>
    <w:rsid w:val="00BD303D"/>
    <w:rsid w:val="00BD67DD"/>
    <w:rsid w:val="00BD71FF"/>
    <w:rsid w:val="00BE0D6D"/>
    <w:rsid w:val="00BE2C22"/>
    <w:rsid w:val="00BE352E"/>
    <w:rsid w:val="00BE4932"/>
    <w:rsid w:val="00BE72EF"/>
    <w:rsid w:val="00BE7F4C"/>
    <w:rsid w:val="00BF110B"/>
    <w:rsid w:val="00BF37E1"/>
    <w:rsid w:val="00BF3CF7"/>
    <w:rsid w:val="00BF4282"/>
    <w:rsid w:val="00BF6BEE"/>
    <w:rsid w:val="00C00661"/>
    <w:rsid w:val="00C03C78"/>
    <w:rsid w:val="00C05C71"/>
    <w:rsid w:val="00C07629"/>
    <w:rsid w:val="00C07714"/>
    <w:rsid w:val="00C0784E"/>
    <w:rsid w:val="00C10238"/>
    <w:rsid w:val="00C13CA2"/>
    <w:rsid w:val="00C13FDF"/>
    <w:rsid w:val="00C142A5"/>
    <w:rsid w:val="00C14865"/>
    <w:rsid w:val="00C14D83"/>
    <w:rsid w:val="00C15A83"/>
    <w:rsid w:val="00C1665B"/>
    <w:rsid w:val="00C16FDA"/>
    <w:rsid w:val="00C1787F"/>
    <w:rsid w:val="00C200A2"/>
    <w:rsid w:val="00C20384"/>
    <w:rsid w:val="00C21110"/>
    <w:rsid w:val="00C21342"/>
    <w:rsid w:val="00C22E0B"/>
    <w:rsid w:val="00C232EC"/>
    <w:rsid w:val="00C250B8"/>
    <w:rsid w:val="00C25E4B"/>
    <w:rsid w:val="00C26269"/>
    <w:rsid w:val="00C27236"/>
    <w:rsid w:val="00C27946"/>
    <w:rsid w:val="00C3109F"/>
    <w:rsid w:val="00C31629"/>
    <w:rsid w:val="00C345A4"/>
    <w:rsid w:val="00C4004A"/>
    <w:rsid w:val="00C40C79"/>
    <w:rsid w:val="00C45B57"/>
    <w:rsid w:val="00C46F56"/>
    <w:rsid w:val="00C5118D"/>
    <w:rsid w:val="00C51227"/>
    <w:rsid w:val="00C522D2"/>
    <w:rsid w:val="00C53157"/>
    <w:rsid w:val="00C539EB"/>
    <w:rsid w:val="00C54687"/>
    <w:rsid w:val="00C552D8"/>
    <w:rsid w:val="00C576AF"/>
    <w:rsid w:val="00C60520"/>
    <w:rsid w:val="00C6151A"/>
    <w:rsid w:val="00C620FF"/>
    <w:rsid w:val="00C62917"/>
    <w:rsid w:val="00C62A19"/>
    <w:rsid w:val="00C6CA23"/>
    <w:rsid w:val="00C70927"/>
    <w:rsid w:val="00C729D3"/>
    <w:rsid w:val="00C72DBA"/>
    <w:rsid w:val="00C76ACE"/>
    <w:rsid w:val="00C773AD"/>
    <w:rsid w:val="00C80FA8"/>
    <w:rsid w:val="00C81AA0"/>
    <w:rsid w:val="00C848E3"/>
    <w:rsid w:val="00C84DC9"/>
    <w:rsid w:val="00C93F1E"/>
    <w:rsid w:val="00C96967"/>
    <w:rsid w:val="00CA0F03"/>
    <w:rsid w:val="00CA14A9"/>
    <w:rsid w:val="00CA23FA"/>
    <w:rsid w:val="00CA32AD"/>
    <w:rsid w:val="00CA5DAD"/>
    <w:rsid w:val="00CB0287"/>
    <w:rsid w:val="00CB0BC4"/>
    <w:rsid w:val="00CB0F83"/>
    <w:rsid w:val="00CB4447"/>
    <w:rsid w:val="00CB4B2B"/>
    <w:rsid w:val="00CB6F8A"/>
    <w:rsid w:val="00CC0FBD"/>
    <w:rsid w:val="00CC30AB"/>
    <w:rsid w:val="00CC349F"/>
    <w:rsid w:val="00CC35A4"/>
    <w:rsid w:val="00CC5CC0"/>
    <w:rsid w:val="00CC70A6"/>
    <w:rsid w:val="00CD088E"/>
    <w:rsid w:val="00CD37CC"/>
    <w:rsid w:val="00CD5835"/>
    <w:rsid w:val="00CE06FD"/>
    <w:rsid w:val="00CE1279"/>
    <w:rsid w:val="00CE13C5"/>
    <w:rsid w:val="00CE16F3"/>
    <w:rsid w:val="00CE2D4B"/>
    <w:rsid w:val="00CE3437"/>
    <w:rsid w:val="00CE39FD"/>
    <w:rsid w:val="00CE3BA8"/>
    <w:rsid w:val="00CE5A55"/>
    <w:rsid w:val="00CE6A7C"/>
    <w:rsid w:val="00CF028C"/>
    <w:rsid w:val="00CF0527"/>
    <w:rsid w:val="00CF17DE"/>
    <w:rsid w:val="00CF2A17"/>
    <w:rsid w:val="00CF3B2C"/>
    <w:rsid w:val="00CF3BFB"/>
    <w:rsid w:val="00CF5466"/>
    <w:rsid w:val="00CF7F6D"/>
    <w:rsid w:val="00D03B2E"/>
    <w:rsid w:val="00D0420B"/>
    <w:rsid w:val="00D04900"/>
    <w:rsid w:val="00D04C5A"/>
    <w:rsid w:val="00D057CB"/>
    <w:rsid w:val="00D05B5C"/>
    <w:rsid w:val="00D05B7E"/>
    <w:rsid w:val="00D06480"/>
    <w:rsid w:val="00D06FBC"/>
    <w:rsid w:val="00D1076F"/>
    <w:rsid w:val="00D128DB"/>
    <w:rsid w:val="00D13143"/>
    <w:rsid w:val="00D1643C"/>
    <w:rsid w:val="00D17FF5"/>
    <w:rsid w:val="00D2233C"/>
    <w:rsid w:val="00D24731"/>
    <w:rsid w:val="00D25CC4"/>
    <w:rsid w:val="00D2F673"/>
    <w:rsid w:val="00D30159"/>
    <w:rsid w:val="00D3571A"/>
    <w:rsid w:val="00D41604"/>
    <w:rsid w:val="00D45E39"/>
    <w:rsid w:val="00D507DB"/>
    <w:rsid w:val="00D52722"/>
    <w:rsid w:val="00D53F62"/>
    <w:rsid w:val="00D55853"/>
    <w:rsid w:val="00D560D2"/>
    <w:rsid w:val="00D56361"/>
    <w:rsid w:val="00D57143"/>
    <w:rsid w:val="00D611BE"/>
    <w:rsid w:val="00D613E0"/>
    <w:rsid w:val="00D61BBB"/>
    <w:rsid w:val="00D61D24"/>
    <w:rsid w:val="00D63D19"/>
    <w:rsid w:val="00D672FF"/>
    <w:rsid w:val="00D67F63"/>
    <w:rsid w:val="00D74029"/>
    <w:rsid w:val="00D75D1C"/>
    <w:rsid w:val="00D77382"/>
    <w:rsid w:val="00D773D2"/>
    <w:rsid w:val="00D81B96"/>
    <w:rsid w:val="00D82311"/>
    <w:rsid w:val="00D84E07"/>
    <w:rsid w:val="00D85AA7"/>
    <w:rsid w:val="00D901A3"/>
    <w:rsid w:val="00D9035E"/>
    <w:rsid w:val="00D909F9"/>
    <w:rsid w:val="00D912C4"/>
    <w:rsid w:val="00D95F3C"/>
    <w:rsid w:val="00D97984"/>
    <w:rsid w:val="00DA1928"/>
    <w:rsid w:val="00DA1AC9"/>
    <w:rsid w:val="00DA380C"/>
    <w:rsid w:val="00DA55DA"/>
    <w:rsid w:val="00DA5B2D"/>
    <w:rsid w:val="00DA75F6"/>
    <w:rsid w:val="00DB1011"/>
    <w:rsid w:val="00DB2E7C"/>
    <w:rsid w:val="00DB5211"/>
    <w:rsid w:val="00DB5686"/>
    <w:rsid w:val="00DB631C"/>
    <w:rsid w:val="00DB634E"/>
    <w:rsid w:val="00DB69AD"/>
    <w:rsid w:val="00DB6E63"/>
    <w:rsid w:val="00DB73E4"/>
    <w:rsid w:val="00DB7C9A"/>
    <w:rsid w:val="00DC0AF1"/>
    <w:rsid w:val="00DC0D9B"/>
    <w:rsid w:val="00DC0F12"/>
    <w:rsid w:val="00DC20C9"/>
    <w:rsid w:val="00DC3C53"/>
    <w:rsid w:val="00DC6AF0"/>
    <w:rsid w:val="00DD1AAF"/>
    <w:rsid w:val="00DD3C92"/>
    <w:rsid w:val="00DD42A4"/>
    <w:rsid w:val="00DE2463"/>
    <w:rsid w:val="00DE24D0"/>
    <w:rsid w:val="00DE3705"/>
    <w:rsid w:val="00DE5190"/>
    <w:rsid w:val="00DE6655"/>
    <w:rsid w:val="00DE7D3B"/>
    <w:rsid w:val="00DF1908"/>
    <w:rsid w:val="00DF217F"/>
    <w:rsid w:val="00DF3A6E"/>
    <w:rsid w:val="00DF3DF3"/>
    <w:rsid w:val="00E00DD2"/>
    <w:rsid w:val="00E02336"/>
    <w:rsid w:val="00E033EF"/>
    <w:rsid w:val="00E07633"/>
    <w:rsid w:val="00E10290"/>
    <w:rsid w:val="00E11054"/>
    <w:rsid w:val="00E11379"/>
    <w:rsid w:val="00E1357C"/>
    <w:rsid w:val="00E136A2"/>
    <w:rsid w:val="00E1570A"/>
    <w:rsid w:val="00E203D0"/>
    <w:rsid w:val="00E21656"/>
    <w:rsid w:val="00E221FE"/>
    <w:rsid w:val="00E2550C"/>
    <w:rsid w:val="00E2674F"/>
    <w:rsid w:val="00E26BD2"/>
    <w:rsid w:val="00E371CB"/>
    <w:rsid w:val="00E42FF5"/>
    <w:rsid w:val="00E451D2"/>
    <w:rsid w:val="00E45F48"/>
    <w:rsid w:val="00E53CB6"/>
    <w:rsid w:val="00E546DE"/>
    <w:rsid w:val="00E5480F"/>
    <w:rsid w:val="00E54A3C"/>
    <w:rsid w:val="00E56CB1"/>
    <w:rsid w:val="00E57341"/>
    <w:rsid w:val="00E61509"/>
    <w:rsid w:val="00E61553"/>
    <w:rsid w:val="00E623B3"/>
    <w:rsid w:val="00E62633"/>
    <w:rsid w:val="00E63A32"/>
    <w:rsid w:val="00E6430D"/>
    <w:rsid w:val="00E65AF4"/>
    <w:rsid w:val="00E65CE6"/>
    <w:rsid w:val="00E66AB0"/>
    <w:rsid w:val="00E737F5"/>
    <w:rsid w:val="00E76C65"/>
    <w:rsid w:val="00E77ECF"/>
    <w:rsid w:val="00E812AE"/>
    <w:rsid w:val="00E81655"/>
    <w:rsid w:val="00E82BE9"/>
    <w:rsid w:val="00E846F3"/>
    <w:rsid w:val="00E857CD"/>
    <w:rsid w:val="00E86ED4"/>
    <w:rsid w:val="00E8B214"/>
    <w:rsid w:val="00E92D76"/>
    <w:rsid w:val="00E93D25"/>
    <w:rsid w:val="00E95EEA"/>
    <w:rsid w:val="00EA1627"/>
    <w:rsid w:val="00EA1DC5"/>
    <w:rsid w:val="00EA1EF4"/>
    <w:rsid w:val="00EA612A"/>
    <w:rsid w:val="00EB1805"/>
    <w:rsid w:val="00EB3660"/>
    <w:rsid w:val="00EB41B2"/>
    <w:rsid w:val="00EC0DCA"/>
    <w:rsid w:val="00EC2808"/>
    <w:rsid w:val="00EC3F49"/>
    <w:rsid w:val="00EC5E19"/>
    <w:rsid w:val="00EC7675"/>
    <w:rsid w:val="00EC7875"/>
    <w:rsid w:val="00ED230D"/>
    <w:rsid w:val="00ED24A2"/>
    <w:rsid w:val="00ED2C63"/>
    <w:rsid w:val="00ED2DF2"/>
    <w:rsid w:val="00ED2E16"/>
    <w:rsid w:val="00ED4C1F"/>
    <w:rsid w:val="00ED4E57"/>
    <w:rsid w:val="00ED71D9"/>
    <w:rsid w:val="00ED78B5"/>
    <w:rsid w:val="00EE1C37"/>
    <w:rsid w:val="00EE20AA"/>
    <w:rsid w:val="00EE7C51"/>
    <w:rsid w:val="00EF11D3"/>
    <w:rsid w:val="00EF5557"/>
    <w:rsid w:val="00EF5C14"/>
    <w:rsid w:val="00EF7743"/>
    <w:rsid w:val="00EF7A83"/>
    <w:rsid w:val="00F0269A"/>
    <w:rsid w:val="00F045C1"/>
    <w:rsid w:val="00F0473D"/>
    <w:rsid w:val="00F0519E"/>
    <w:rsid w:val="00F05BE2"/>
    <w:rsid w:val="00F06FDE"/>
    <w:rsid w:val="00F070D2"/>
    <w:rsid w:val="00F10436"/>
    <w:rsid w:val="00F10F66"/>
    <w:rsid w:val="00F114E7"/>
    <w:rsid w:val="00F13EA4"/>
    <w:rsid w:val="00F14BF9"/>
    <w:rsid w:val="00F16533"/>
    <w:rsid w:val="00F16B9C"/>
    <w:rsid w:val="00F175EB"/>
    <w:rsid w:val="00F1788F"/>
    <w:rsid w:val="00F17964"/>
    <w:rsid w:val="00F20716"/>
    <w:rsid w:val="00F21628"/>
    <w:rsid w:val="00F22484"/>
    <w:rsid w:val="00F30542"/>
    <w:rsid w:val="00F31428"/>
    <w:rsid w:val="00F316BD"/>
    <w:rsid w:val="00F341B1"/>
    <w:rsid w:val="00F37B0F"/>
    <w:rsid w:val="00F37E3A"/>
    <w:rsid w:val="00F41319"/>
    <w:rsid w:val="00F4529F"/>
    <w:rsid w:val="00F45F31"/>
    <w:rsid w:val="00F4774C"/>
    <w:rsid w:val="00F47ADB"/>
    <w:rsid w:val="00F47D5C"/>
    <w:rsid w:val="00F50C8D"/>
    <w:rsid w:val="00F5183C"/>
    <w:rsid w:val="00F521C7"/>
    <w:rsid w:val="00F5296C"/>
    <w:rsid w:val="00F52DA7"/>
    <w:rsid w:val="00F55CF6"/>
    <w:rsid w:val="00F61FB9"/>
    <w:rsid w:val="00F62FCA"/>
    <w:rsid w:val="00F65862"/>
    <w:rsid w:val="00F65874"/>
    <w:rsid w:val="00F67475"/>
    <w:rsid w:val="00F73C97"/>
    <w:rsid w:val="00F740A1"/>
    <w:rsid w:val="00F748D2"/>
    <w:rsid w:val="00F75BF7"/>
    <w:rsid w:val="00F76C80"/>
    <w:rsid w:val="00F809A4"/>
    <w:rsid w:val="00F80DB2"/>
    <w:rsid w:val="00F8573E"/>
    <w:rsid w:val="00F9370A"/>
    <w:rsid w:val="00F943C2"/>
    <w:rsid w:val="00FA39D1"/>
    <w:rsid w:val="00FA5D16"/>
    <w:rsid w:val="00FB4797"/>
    <w:rsid w:val="00FB66AB"/>
    <w:rsid w:val="00FB7D90"/>
    <w:rsid w:val="00FC1E50"/>
    <w:rsid w:val="00FC368D"/>
    <w:rsid w:val="00FC4BB0"/>
    <w:rsid w:val="00FC6D42"/>
    <w:rsid w:val="00FC7D9B"/>
    <w:rsid w:val="00FD0C8C"/>
    <w:rsid w:val="00FD0FD3"/>
    <w:rsid w:val="00FD530B"/>
    <w:rsid w:val="00FE07C8"/>
    <w:rsid w:val="00FE2A82"/>
    <w:rsid w:val="00FF3843"/>
    <w:rsid w:val="00FF4CEC"/>
    <w:rsid w:val="0105E86D"/>
    <w:rsid w:val="01134B4B"/>
    <w:rsid w:val="012722F9"/>
    <w:rsid w:val="013773A5"/>
    <w:rsid w:val="0138CAA9"/>
    <w:rsid w:val="013A7289"/>
    <w:rsid w:val="0141FF14"/>
    <w:rsid w:val="0152BEDF"/>
    <w:rsid w:val="0163EC1F"/>
    <w:rsid w:val="016D881A"/>
    <w:rsid w:val="0182EA90"/>
    <w:rsid w:val="0185300B"/>
    <w:rsid w:val="0187E950"/>
    <w:rsid w:val="018A5B3D"/>
    <w:rsid w:val="01942300"/>
    <w:rsid w:val="01A7A49F"/>
    <w:rsid w:val="01AC07A8"/>
    <w:rsid w:val="01D6528B"/>
    <w:rsid w:val="01DED2E2"/>
    <w:rsid w:val="02063C80"/>
    <w:rsid w:val="020E848C"/>
    <w:rsid w:val="02503DC5"/>
    <w:rsid w:val="026C0799"/>
    <w:rsid w:val="026FF212"/>
    <w:rsid w:val="0270B267"/>
    <w:rsid w:val="0283AF1A"/>
    <w:rsid w:val="028AE439"/>
    <w:rsid w:val="02AD27EC"/>
    <w:rsid w:val="02C5BC3C"/>
    <w:rsid w:val="02CED9C3"/>
    <w:rsid w:val="02D965B4"/>
    <w:rsid w:val="02DEAC08"/>
    <w:rsid w:val="02E2F5E0"/>
    <w:rsid w:val="02F02204"/>
    <w:rsid w:val="02F87064"/>
    <w:rsid w:val="0304522D"/>
    <w:rsid w:val="030C4691"/>
    <w:rsid w:val="031542AD"/>
    <w:rsid w:val="0318997F"/>
    <w:rsid w:val="031A613E"/>
    <w:rsid w:val="032AF6DE"/>
    <w:rsid w:val="03350305"/>
    <w:rsid w:val="03425FA1"/>
    <w:rsid w:val="034E275D"/>
    <w:rsid w:val="03599F30"/>
    <w:rsid w:val="0373A9CB"/>
    <w:rsid w:val="037FF7B4"/>
    <w:rsid w:val="0394FF3B"/>
    <w:rsid w:val="03B0F347"/>
    <w:rsid w:val="03C4C2D7"/>
    <w:rsid w:val="03D31729"/>
    <w:rsid w:val="03DDD8A9"/>
    <w:rsid w:val="03E5E150"/>
    <w:rsid w:val="04271815"/>
    <w:rsid w:val="04341146"/>
    <w:rsid w:val="04378AD5"/>
    <w:rsid w:val="04592E8C"/>
    <w:rsid w:val="047C5547"/>
    <w:rsid w:val="049582A7"/>
    <w:rsid w:val="04B3C4F5"/>
    <w:rsid w:val="04B6F42E"/>
    <w:rsid w:val="04C4E659"/>
    <w:rsid w:val="04E56D5C"/>
    <w:rsid w:val="04E78EF2"/>
    <w:rsid w:val="0501327B"/>
    <w:rsid w:val="0507591A"/>
    <w:rsid w:val="050AAD5F"/>
    <w:rsid w:val="0519A40D"/>
    <w:rsid w:val="051CF9AB"/>
    <w:rsid w:val="052E8DF7"/>
    <w:rsid w:val="0547E976"/>
    <w:rsid w:val="054B62CB"/>
    <w:rsid w:val="0560421E"/>
    <w:rsid w:val="056A7BFE"/>
    <w:rsid w:val="056B31EB"/>
    <w:rsid w:val="058BEEFD"/>
    <w:rsid w:val="05A3AC90"/>
    <w:rsid w:val="05BFD02F"/>
    <w:rsid w:val="05C3965B"/>
    <w:rsid w:val="05D54E2C"/>
    <w:rsid w:val="05E23717"/>
    <w:rsid w:val="05E34643"/>
    <w:rsid w:val="05F58782"/>
    <w:rsid w:val="05FABA2C"/>
    <w:rsid w:val="0608B326"/>
    <w:rsid w:val="061ACB5E"/>
    <w:rsid w:val="061F5FAC"/>
    <w:rsid w:val="0623F80D"/>
    <w:rsid w:val="0634F8E8"/>
    <w:rsid w:val="0638656A"/>
    <w:rsid w:val="0640B035"/>
    <w:rsid w:val="06456E45"/>
    <w:rsid w:val="0648193C"/>
    <w:rsid w:val="0656CA65"/>
    <w:rsid w:val="0664298E"/>
    <w:rsid w:val="0665345B"/>
    <w:rsid w:val="06807BDD"/>
    <w:rsid w:val="0688A785"/>
    <w:rsid w:val="06923C1B"/>
    <w:rsid w:val="069EAD26"/>
    <w:rsid w:val="06ADA0BC"/>
    <w:rsid w:val="06F10A8B"/>
    <w:rsid w:val="071C97B9"/>
    <w:rsid w:val="0723903F"/>
    <w:rsid w:val="0729D298"/>
    <w:rsid w:val="072A8ED2"/>
    <w:rsid w:val="0733FAEE"/>
    <w:rsid w:val="07428279"/>
    <w:rsid w:val="074D3AD7"/>
    <w:rsid w:val="074E0E0E"/>
    <w:rsid w:val="0756B166"/>
    <w:rsid w:val="075CC01F"/>
    <w:rsid w:val="076C218F"/>
    <w:rsid w:val="0773AA50"/>
    <w:rsid w:val="07855928"/>
    <w:rsid w:val="079E6D22"/>
    <w:rsid w:val="07A4B60C"/>
    <w:rsid w:val="07AA2CDD"/>
    <w:rsid w:val="07BDBC72"/>
    <w:rsid w:val="07D3DF4C"/>
    <w:rsid w:val="07D80933"/>
    <w:rsid w:val="07E9F2CD"/>
    <w:rsid w:val="07F7F1D5"/>
    <w:rsid w:val="07FEA7E7"/>
    <w:rsid w:val="0815CF9E"/>
    <w:rsid w:val="081682BD"/>
    <w:rsid w:val="081B9ABA"/>
    <w:rsid w:val="0826BDB0"/>
    <w:rsid w:val="0851FF8E"/>
    <w:rsid w:val="0854DA95"/>
    <w:rsid w:val="085A32BC"/>
    <w:rsid w:val="085AF6BE"/>
    <w:rsid w:val="08760860"/>
    <w:rsid w:val="088BDAC7"/>
    <w:rsid w:val="088C3638"/>
    <w:rsid w:val="0894EA81"/>
    <w:rsid w:val="08B23D4C"/>
    <w:rsid w:val="08B654E2"/>
    <w:rsid w:val="08B8B2B3"/>
    <w:rsid w:val="08C1B6D2"/>
    <w:rsid w:val="08CC34B6"/>
    <w:rsid w:val="08D4A415"/>
    <w:rsid w:val="08EAF039"/>
    <w:rsid w:val="08EB31B7"/>
    <w:rsid w:val="08EEBF8A"/>
    <w:rsid w:val="08FB8583"/>
    <w:rsid w:val="090DF7E1"/>
    <w:rsid w:val="093557CF"/>
    <w:rsid w:val="0935E68F"/>
    <w:rsid w:val="0938A81C"/>
    <w:rsid w:val="0938EE95"/>
    <w:rsid w:val="0944F425"/>
    <w:rsid w:val="0949D253"/>
    <w:rsid w:val="094E7BC0"/>
    <w:rsid w:val="0961D391"/>
    <w:rsid w:val="09823398"/>
    <w:rsid w:val="0988184C"/>
    <w:rsid w:val="0996CAD5"/>
    <w:rsid w:val="09A39E43"/>
    <w:rsid w:val="09A3C07F"/>
    <w:rsid w:val="09B75C0C"/>
    <w:rsid w:val="09D83354"/>
    <w:rsid w:val="09DAA0E2"/>
    <w:rsid w:val="09E44966"/>
    <w:rsid w:val="09F1DB04"/>
    <w:rsid w:val="09F63547"/>
    <w:rsid w:val="09F76682"/>
    <w:rsid w:val="09FEBB64"/>
    <w:rsid w:val="0A08098E"/>
    <w:rsid w:val="0A13DBC2"/>
    <w:rsid w:val="0A53F9E0"/>
    <w:rsid w:val="0A597811"/>
    <w:rsid w:val="0A5C9664"/>
    <w:rsid w:val="0A5D4E8C"/>
    <w:rsid w:val="0A859F9B"/>
    <w:rsid w:val="0A933CF6"/>
    <w:rsid w:val="0A972089"/>
    <w:rsid w:val="0AA87310"/>
    <w:rsid w:val="0AB23DB3"/>
    <w:rsid w:val="0AC66840"/>
    <w:rsid w:val="0AC7216A"/>
    <w:rsid w:val="0AC72402"/>
    <w:rsid w:val="0ACD8BE5"/>
    <w:rsid w:val="0AE514C9"/>
    <w:rsid w:val="0AECC134"/>
    <w:rsid w:val="0B009C37"/>
    <w:rsid w:val="0B09DD60"/>
    <w:rsid w:val="0B1C74EA"/>
    <w:rsid w:val="0B1E977B"/>
    <w:rsid w:val="0B2CD05E"/>
    <w:rsid w:val="0B2ED61C"/>
    <w:rsid w:val="0B3E1F0B"/>
    <w:rsid w:val="0B61CB27"/>
    <w:rsid w:val="0B8EB483"/>
    <w:rsid w:val="0BA783A1"/>
    <w:rsid w:val="0BAA992D"/>
    <w:rsid w:val="0BDA33FB"/>
    <w:rsid w:val="0BE3BB95"/>
    <w:rsid w:val="0BE7F073"/>
    <w:rsid w:val="0BF520FC"/>
    <w:rsid w:val="0BFFB127"/>
    <w:rsid w:val="0C135C3F"/>
    <w:rsid w:val="0C15D683"/>
    <w:rsid w:val="0C1ACA17"/>
    <w:rsid w:val="0C205F78"/>
    <w:rsid w:val="0C31D012"/>
    <w:rsid w:val="0C37BB99"/>
    <w:rsid w:val="0C4D9011"/>
    <w:rsid w:val="0C4F59F3"/>
    <w:rsid w:val="0C7A5F84"/>
    <w:rsid w:val="0C83B3FE"/>
    <w:rsid w:val="0C88714B"/>
    <w:rsid w:val="0CA86DE0"/>
    <w:rsid w:val="0CACBAE6"/>
    <w:rsid w:val="0CAD7865"/>
    <w:rsid w:val="0CB3C134"/>
    <w:rsid w:val="0CCE4660"/>
    <w:rsid w:val="0CD2A1D2"/>
    <w:rsid w:val="0CD9D27B"/>
    <w:rsid w:val="0D1D89EE"/>
    <w:rsid w:val="0D217B49"/>
    <w:rsid w:val="0D21A7CD"/>
    <w:rsid w:val="0D342080"/>
    <w:rsid w:val="0D3B645F"/>
    <w:rsid w:val="0D4079A8"/>
    <w:rsid w:val="0D440B72"/>
    <w:rsid w:val="0D4679D5"/>
    <w:rsid w:val="0D5D8F6F"/>
    <w:rsid w:val="0D625A46"/>
    <w:rsid w:val="0D6FF89E"/>
    <w:rsid w:val="0D722306"/>
    <w:rsid w:val="0D8B512B"/>
    <w:rsid w:val="0D8D9307"/>
    <w:rsid w:val="0D9003E5"/>
    <w:rsid w:val="0DA5B297"/>
    <w:rsid w:val="0DB05DEE"/>
    <w:rsid w:val="0DE24F79"/>
    <w:rsid w:val="0DF83D96"/>
    <w:rsid w:val="0E22C7B1"/>
    <w:rsid w:val="0E234337"/>
    <w:rsid w:val="0E363AFE"/>
    <w:rsid w:val="0E41BF14"/>
    <w:rsid w:val="0E449D41"/>
    <w:rsid w:val="0E453605"/>
    <w:rsid w:val="0E49A52C"/>
    <w:rsid w:val="0E4E0425"/>
    <w:rsid w:val="0E5AE753"/>
    <w:rsid w:val="0E5B8D3A"/>
    <w:rsid w:val="0E81F2A8"/>
    <w:rsid w:val="0E8737BF"/>
    <w:rsid w:val="0E917E33"/>
    <w:rsid w:val="0E94AA40"/>
    <w:rsid w:val="0E961228"/>
    <w:rsid w:val="0E9B6DCE"/>
    <w:rsid w:val="0E9C8887"/>
    <w:rsid w:val="0EA0CB16"/>
    <w:rsid w:val="0EA9014C"/>
    <w:rsid w:val="0EC6ABF9"/>
    <w:rsid w:val="0EE7FC4D"/>
    <w:rsid w:val="0EFE1711"/>
    <w:rsid w:val="0F039FC1"/>
    <w:rsid w:val="0F220118"/>
    <w:rsid w:val="0F283227"/>
    <w:rsid w:val="0F36195B"/>
    <w:rsid w:val="0F503644"/>
    <w:rsid w:val="0F635869"/>
    <w:rsid w:val="0F65B19F"/>
    <w:rsid w:val="0F6690CC"/>
    <w:rsid w:val="0F6D6AB9"/>
    <w:rsid w:val="0F705291"/>
    <w:rsid w:val="0F8A8A42"/>
    <w:rsid w:val="0F8C3FC3"/>
    <w:rsid w:val="0FA23610"/>
    <w:rsid w:val="0FA4299C"/>
    <w:rsid w:val="0FA7561E"/>
    <w:rsid w:val="0FBAE614"/>
    <w:rsid w:val="0FC01FA4"/>
    <w:rsid w:val="0FEB3C31"/>
    <w:rsid w:val="1012C5EF"/>
    <w:rsid w:val="10283DB5"/>
    <w:rsid w:val="10285345"/>
    <w:rsid w:val="102B2035"/>
    <w:rsid w:val="102F3B7B"/>
    <w:rsid w:val="103480A3"/>
    <w:rsid w:val="103EB95C"/>
    <w:rsid w:val="104998F0"/>
    <w:rsid w:val="104A6A6B"/>
    <w:rsid w:val="1056BCBA"/>
    <w:rsid w:val="1059F6E4"/>
    <w:rsid w:val="105CA54F"/>
    <w:rsid w:val="1066B749"/>
    <w:rsid w:val="106EF4FF"/>
    <w:rsid w:val="109FB50C"/>
    <w:rsid w:val="10B0FD9F"/>
    <w:rsid w:val="10BBD0FA"/>
    <w:rsid w:val="10CCC45C"/>
    <w:rsid w:val="10DC4488"/>
    <w:rsid w:val="10F220EB"/>
    <w:rsid w:val="10F56089"/>
    <w:rsid w:val="1104D7F0"/>
    <w:rsid w:val="11166B56"/>
    <w:rsid w:val="1117228F"/>
    <w:rsid w:val="113FD1E3"/>
    <w:rsid w:val="1141884C"/>
    <w:rsid w:val="114B1D91"/>
    <w:rsid w:val="114C18C2"/>
    <w:rsid w:val="114ECA03"/>
    <w:rsid w:val="115F8A2F"/>
    <w:rsid w:val="1175F927"/>
    <w:rsid w:val="118385FC"/>
    <w:rsid w:val="1185082B"/>
    <w:rsid w:val="1186DAA1"/>
    <w:rsid w:val="11978713"/>
    <w:rsid w:val="11979DAA"/>
    <w:rsid w:val="119AE1FD"/>
    <w:rsid w:val="11A2C896"/>
    <w:rsid w:val="11A3AB35"/>
    <w:rsid w:val="11AC1FF4"/>
    <w:rsid w:val="11B60CFB"/>
    <w:rsid w:val="11C0B90A"/>
    <w:rsid w:val="11C966FF"/>
    <w:rsid w:val="11D8F064"/>
    <w:rsid w:val="11DAB413"/>
    <w:rsid w:val="11DDC5D1"/>
    <w:rsid w:val="11ECFCC6"/>
    <w:rsid w:val="11FEFAA2"/>
    <w:rsid w:val="12157840"/>
    <w:rsid w:val="12330A3D"/>
    <w:rsid w:val="123B686A"/>
    <w:rsid w:val="123D4A16"/>
    <w:rsid w:val="12422B64"/>
    <w:rsid w:val="12431E7D"/>
    <w:rsid w:val="124D1BE2"/>
    <w:rsid w:val="124EEF5A"/>
    <w:rsid w:val="125F72BB"/>
    <w:rsid w:val="1264BADC"/>
    <w:rsid w:val="12954B52"/>
    <w:rsid w:val="12B38EBF"/>
    <w:rsid w:val="12B4AD88"/>
    <w:rsid w:val="12D63AA5"/>
    <w:rsid w:val="12D872AC"/>
    <w:rsid w:val="12E265C0"/>
    <w:rsid w:val="12E547CB"/>
    <w:rsid w:val="12F459EB"/>
    <w:rsid w:val="12FD1449"/>
    <w:rsid w:val="1324DF37"/>
    <w:rsid w:val="1329CB4B"/>
    <w:rsid w:val="133B619B"/>
    <w:rsid w:val="1348A237"/>
    <w:rsid w:val="134955DE"/>
    <w:rsid w:val="138C814A"/>
    <w:rsid w:val="138DEE4B"/>
    <w:rsid w:val="1398475E"/>
    <w:rsid w:val="13B0F850"/>
    <w:rsid w:val="13BCD068"/>
    <w:rsid w:val="13D4BB03"/>
    <w:rsid w:val="13EDF642"/>
    <w:rsid w:val="13F67CDF"/>
    <w:rsid w:val="141047F6"/>
    <w:rsid w:val="1415F2C6"/>
    <w:rsid w:val="14172DB3"/>
    <w:rsid w:val="1433B2F8"/>
    <w:rsid w:val="1442C2A4"/>
    <w:rsid w:val="14433D71"/>
    <w:rsid w:val="14515BE3"/>
    <w:rsid w:val="1462AE1E"/>
    <w:rsid w:val="1467BD2B"/>
    <w:rsid w:val="14847616"/>
    <w:rsid w:val="148A6B2C"/>
    <w:rsid w:val="14969D60"/>
    <w:rsid w:val="14A90269"/>
    <w:rsid w:val="14AA831D"/>
    <w:rsid w:val="14C420A4"/>
    <w:rsid w:val="14CE407C"/>
    <w:rsid w:val="14D34278"/>
    <w:rsid w:val="14DA86B2"/>
    <w:rsid w:val="14F2CEBC"/>
    <w:rsid w:val="14FB2E2A"/>
    <w:rsid w:val="14FD3071"/>
    <w:rsid w:val="14FDCE06"/>
    <w:rsid w:val="150A415C"/>
    <w:rsid w:val="15108706"/>
    <w:rsid w:val="1558DA1E"/>
    <w:rsid w:val="1569E5B3"/>
    <w:rsid w:val="1593C617"/>
    <w:rsid w:val="15996D34"/>
    <w:rsid w:val="15B79718"/>
    <w:rsid w:val="15C91B8A"/>
    <w:rsid w:val="15D8369B"/>
    <w:rsid w:val="15FA2397"/>
    <w:rsid w:val="15FE78FE"/>
    <w:rsid w:val="16052934"/>
    <w:rsid w:val="1617B02A"/>
    <w:rsid w:val="162B5C18"/>
    <w:rsid w:val="163E1D27"/>
    <w:rsid w:val="1652C3A6"/>
    <w:rsid w:val="1656AF77"/>
    <w:rsid w:val="16598AE8"/>
    <w:rsid w:val="16794EAD"/>
    <w:rsid w:val="167F607F"/>
    <w:rsid w:val="168A1C84"/>
    <w:rsid w:val="1694B767"/>
    <w:rsid w:val="16AB8029"/>
    <w:rsid w:val="16C26159"/>
    <w:rsid w:val="16C28521"/>
    <w:rsid w:val="16CC16C3"/>
    <w:rsid w:val="16EE326C"/>
    <w:rsid w:val="16FAC971"/>
    <w:rsid w:val="17049E71"/>
    <w:rsid w:val="1706B584"/>
    <w:rsid w:val="170A5E0E"/>
    <w:rsid w:val="171142D9"/>
    <w:rsid w:val="17175D0E"/>
    <w:rsid w:val="1720F887"/>
    <w:rsid w:val="172351CC"/>
    <w:rsid w:val="17520547"/>
    <w:rsid w:val="1760578F"/>
    <w:rsid w:val="17612407"/>
    <w:rsid w:val="176B592F"/>
    <w:rsid w:val="17959863"/>
    <w:rsid w:val="17A340F1"/>
    <w:rsid w:val="17B069B8"/>
    <w:rsid w:val="17CA7C00"/>
    <w:rsid w:val="17CC0A68"/>
    <w:rsid w:val="17FCFCFE"/>
    <w:rsid w:val="180C217D"/>
    <w:rsid w:val="18364E7B"/>
    <w:rsid w:val="18490E58"/>
    <w:rsid w:val="184A14A5"/>
    <w:rsid w:val="187D581C"/>
    <w:rsid w:val="18865AD6"/>
    <w:rsid w:val="18878845"/>
    <w:rsid w:val="188DAA14"/>
    <w:rsid w:val="188F5254"/>
    <w:rsid w:val="18937B00"/>
    <w:rsid w:val="18937DAB"/>
    <w:rsid w:val="1895C574"/>
    <w:rsid w:val="189AAEA7"/>
    <w:rsid w:val="18A62B76"/>
    <w:rsid w:val="18AAFC22"/>
    <w:rsid w:val="18DBD6E5"/>
    <w:rsid w:val="18E0BC78"/>
    <w:rsid w:val="18E724F9"/>
    <w:rsid w:val="18F02A2D"/>
    <w:rsid w:val="18F232BD"/>
    <w:rsid w:val="18F90323"/>
    <w:rsid w:val="190FA2A0"/>
    <w:rsid w:val="1916B300"/>
    <w:rsid w:val="19276B78"/>
    <w:rsid w:val="193565F4"/>
    <w:rsid w:val="19369516"/>
    <w:rsid w:val="197C816C"/>
    <w:rsid w:val="1999371D"/>
    <w:rsid w:val="19C2D402"/>
    <w:rsid w:val="19CB119B"/>
    <w:rsid w:val="19D17B0E"/>
    <w:rsid w:val="19E08B24"/>
    <w:rsid w:val="1A035E0F"/>
    <w:rsid w:val="1A0670C4"/>
    <w:rsid w:val="1A0D9958"/>
    <w:rsid w:val="1A1DCEDF"/>
    <w:rsid w:val="1A29AE5B"/>
    <w:rsid w:val="1A32F799"/>
    <w:rsid w:val="1A3E4F98"/>
    <w:rsid w:val="1A44FE7D"/>
    <w:rsid w:val="1A482803"/>
    <w:rsid w:val="1A569004"/>
    <w:rsid w:val="1A570857"/>
    <w:rsid w:val="1A79D599"/>
    <w:rsid w:val="1A990C8B"/>
    <w:rsid w:val="1AA016DB"/>
    <w:rsid w:val="1AAC18CA"/>
    <w:rsid w:val="1ACC563B"/>
    <w:rsid w:val="1AFFE6DC"/>
    <w:rsid w:val="1B02471B"/>
    <w:rsid w:val="1B115414"/>
    <w:rsid w:val="1B24379E"/>
    <w:rsid w:val="1B2DB2D7"/>
    <w:rsid w:val="1B35A8CF"/>
    <w:rsid w:val="1B38373E"/>
    <w:rsid w:val="1B42AF7A"/>
    <w:rsid w:val="1B56F03B"/>
    <w:rsid w:val="1B5A33FA"/>
    <w:rsid w:val="1B6FA423"/>
    <w:rsid w:val="1B6FF2E6"/>
    <w:rsid w:val="1B7859B1"/>
    <w:rsid w:val="1B930F73"/>
    <w:rsid w:val="1B9FD13B"/>
    <w:rsid w:val="1BA5F1AB"/>
    <w:rsid w:val="1BAC05F7"/>
    <w:rsid w:val="1BB456CD"/>
    <w:rsid w:val="1BB5F4DB"/>
    <w:rsid w:val="1BC32319"/>
    <w:rsid w:val="1BC4C687"/>
    <w:rsid w:val="1BDC6FF9"/>
    <w:rsid w:val="1BEE6FA7"/>
    <w:rsid w:val="1BF3D473"/>
    <w:rsid w:val="1BF808FD"/>
    <w:rsid w:val="1BFE2248"/>
    <w:rsid w:val="1BFFCA18"/>
    <w:rsid w:val="1C04478D"/>
    <w:rsid w:val="1C0D14A6"/>
    <w:rsid w:val="1C186440"/>
    <w:rsid w:val="1C370D70"/>
    <w:rsid w:val="1C4DD50F"/>
    <w:rsid w:val="1C64A15E"/>
    <w:rsid w:val="1C662A92"/>
    <w:rsid w:val="1C79EC89"/>
    <w:rsid w:val="1C84AEBF"/>
    <w:rsid w:val="1C8C0862"/>
    <w:rsid w:val="1C8F154D"/>
    <w:rsid w:val="1C91DEBF"/>
    <w:rsid w:val="1CA8D34A"/>
    <w:rsid w:val="1CAD1A79"/>
    <w:rsid w:val="1CB9C642"/>
    <w:rsid w:val="1CDA4BB9"/>
    <w:rsid w:val="1CDECC23"/>
    <w:rsid w:val="1CE106C0"/>
    <w:rsid w:val="1CE35436"/>
    <w:rsid w:val="1CEADAC9"/>
    <w:rsid w:val="1CF1D75B"/>
    <w:rsid w:val="1CFC8321"/>
    <w:rsid w:val="1D0085A9"/>
    <w:rsid w:val="1D212280"/>
    <w:rsid w:val="1D3D2C2C"/>
    <w:rsid w:val="1D6B443D"/>
    <w:rsid w:val="1D6B6C63"/>
    <w:rsid w:val="1D725901"/>
    <w:rsid w:val="1D751C64"/>
    <w:rsid w:val="1D898480"/>
    <w:rsid w:val="1D8B911F"/>
    <w:rsid w:val="1DA20503"/>
    <w:rsid w:val="1DB0395F"/>
    <w:rsid w:val="1DBC98FA"/>
    <w:rsid w:val="1DC1489A"/>
    <w:rsid w:val="1DC85CD3"/>
    <w:rsid w:val="1DD7A9A2"/>
    <w:rsid w:val="1DDE6783"/>
    <w:rsid w:val="1DE795CC"/>
    <w:rsid w:val="1DEE1C71"/>
    <w:rsid w:val="1DF7A8D3"/>
    <w:rsid w:val="1DFCA102"/>
    <w:rsid w:val="1E02CDC7"/>
    <w:rsid w:val="1E293172"/>
    <w:rsid w:val="1E4876B0"/>
    <w:rsid w:val="1E59B4DF"/>
    <w:rsid w:val="1E6BC5EB"/>
    <w:rsid w:val="1E7CD76D"/>
    <w:rsid w:val="1E7D457E"/>
    <w:rsid w:val="1E7FCBE1"/>
    <w:rsid w:val="1E8E40B0"/>
    <w:rsid w:val="1E92FE51"/>
    <w:rsid w:val="1E9864F5"/>
    <w:rsid w:val="1ECD9EA1"/>
    <w:rsid w:val="1ED4A017"/>
    <w:rsid w:val="1EDA473A"/>
    <w:rsid w:val="1EDB1F52"/>
    <w:rsid w:val="1EDDD2C6"/>
    <w:rsid w:val="1EE513CB"/>
    <w:rsid w:val="1EE80A99"/>
    <w:rsid w:val="1F0106F8"/>
    <w:rsid w:val="1F04ED4E"/>
    <w:rsid w:val="1F0F6570"/>
    <w:rsid w:val="1F1A79B1"/>
    <w:rsid w:val="1F3D7EB8"/>
    <w:rsid w:val="1F4458DC"/>
    <w:rsid w:val="1F5B2E2F"/>
    <w:rsid w:val="1F612048"/>
    <w:rsid w:val="1F7B9B51"/>
    <w:rsid w:val="1F9BE568"/>
    <w:rsid w:val="1FA22BE9"/>
    <w:rsid w:val="1FB2C8BF"/>
    <w:rsid w:val="1FF4E79E"/>
    <w:rsid w:val="2013138F"/>
    <w:rsid w:val="202F51B6"/>
    <w:rsid w:val="2041FA2E"/>
    <w:rsid w:val="206365EA"/>
    <w:rsid w:val="20655B46"/>
    <w:rsid w:val="2066A199"/>
    <w:rsid w:val="20698350"/>
    <w:rsid w:val="206D3AFA"/>
    <w:rsid w:val="2071FD5B"/>
    <w:rsid w:val="207AAEBA"/>
    <w:rsid w:val="207BD86E"/>
    <w:rsid w:val="20976D1C"/>
    <w:rsid w:val="209C562C"/>
    <w:rsid w:val="20A82690"/>
    <w:rsid w:val="20B0467C"/>
    <w:rsid w:val="20B48340"/>
    <w:rsid w:val="20C20504"/>
    <w:rsid w:val="20C57CD1"/>
    <w:rsid w:val="20C80551"/>
    <w:rsid w:val="20CB3AFD"/>
    <w:rsid w:val="20DAF400"/>
    <w:rsid w:val="20EBCF92"/>
    <w:rsid w:val="20ED761B"/>
    <w:rsid w:val="20EF7D4D"/>
    <w:rsid w:val="20F1B1E1"/>
    <w:rsid w:val="211399DD"/>
    <w:rsid w:val="2113FE8B"/>
    <w:rsid w:val="211AA20E"/>
    <w:rsid w:val="2123B2CD"/>
    <w:rsid w:val="213CBE0B"/>
    <w:rsid w:val="2141B46E"/>
    <w:rsid w:val="21478336"/>
    <w:rsid w:val="2180111E"/>
    <w:rsid w:val="218029F3"/>
    <w:rsid w:val="21909AEB"/>
    <w:rsid w:val="2194676F"/>
    <w:rsid w:val="2196D340"/>
    <w:rsid w:val="21A2E73F"/>
    <w:rsid w:val="21ABCE14"/>
    <w:rsid w:val="21BD6EA1"/>
    <w:rsid w:val="21CE222E"/>
    <w:rsid w:val="21E4865D"/>
    <w:rsid w:val="21F68DC1"/>
    <w:rsid w:val="220279FD"/>
    <w:rsid w:val="22160BED"/>
    <w:rsid w:val="22164E5A"/>
    <w:rsid w:val="22195E7E"/>
    <w:rsid w:val="221C23B3"/>
    <w:rsid w:val="2221191D"/>
    <w:rsid w:val="2229369D"/>
    <w:rsid w:val="22311BED"/>
    <w:rsid w:val="22332C99"/>
    <w:rsid w:val="22366BFC"/>
    <w:rsid w:val="223E4346"/>
    <w:rsid w:val="2244AB2C"/>
    <w:rsid w:val="224A1621"/>
    <w:rsid w:val="225704C1"/>
    <w:rsid w:val="2257F7E5"/>
    <w:rsid w:val="225D46EA"/>
    <w:rsid w:val="225E1640"/>
    <w:rsid w:val="2271AFB2"/>
    <w:rsid w:val="2273B48F"/>
    <w:rsid w:val="22765573"/>
    <w:rsid w:val="228B1C69"/>
    <w:rsid w:val="22A21887"/>
    <w:rsid w:val="22A23800"/>
    <w:rsid w:val="22AE62B7"/>
    <w:rsid w:val="22CB4973"/>
    <w:rsid w:val="22D67CE2"/>
    <w:rsid w:val="22E32726"/>
    <w:rsid w:val="22F1BAC7"/>
    <w:rsid w:val="22FB8C7B"/>
    <w:rsid w:val="2306E2DC"/>
    <w:rsid w:val="2318D236"/>
    <w:rsid w:val="231D695F"/>
    <w:rsid w:val="233875DB"/>
    <w:rsid w:val="2367B5A6"/>
    <w:rsid w:val="23718DAB"/>
    <w:rsid w:val="238BBE20"/>
    <w:rsid w:val="239AA5F4"/>
    <w:rsid w:val="23BEB14F"/>
    <w:rsid w:val="23DE6628"/>
    <w:rsid w:val="23E9E97F"/>
    <w:rsid w:val="23F6E38B"/>
    <w:rsid w:val="24097B75"/>
    <w:rsid w:val="2414D43A"/>
    <w:rsid w:val="24220C48"/>
    <w:rsid w:val="2424F979"/>
    <w:rsid w:val="24314EB8"/>
    <w:rsid w:val="2441EFA9"/>
    <w:rsid w:val="24569204"/>
    <w:rsid w:val="245FF110"/>
    <w:rsid w:val="24720DA7"/>
    <w:rsid w:val="247E9FEA"/>
    <w:rsid w:val="2486A3C0"/>
    <w:rsid w:val="2490D679"/>
    <w:rsid w:val="2494913A"/>
    <w:rsid w:val="249C3517"/>
    <w:rsid w:val="24AC59DF"/>
    <w:rsid w:val="24BDB433"/>
    <w:rsid w:val="24C205AF"/>
    <w:rsid w:val="24D3D927"/>
    <w:rsid w:val="24DCD88D"/>
    <w:rsid w:val="24DF09B6"/>
    <w:rsid w:val="24E7284E"/>
    <w:rsid w:val="24F948C9"/>
    <w:rsid w:val="24FCCD30"/>
    <w:rsid w:val="2500128A"/>
    <w:rsid w:val="251D1993"/>
    <w:rsid w:val="252303F4"/>
    <w:rsid w:val="252E1789"/>
    <w:rsid w:val="255130B4"/>
    <w:rsid w:val="2552C5D0"/>
    <w:rsid w:val="2557205E"/>
    <w:rsid w:val="2560A278"/>
    <w:rsid w:val="256AD33A"/>
    <w:rsid w:val="257EF60E"/>
    <w:rsid w:val="25A0849E"/>
    <w:rsid w:val="25AA1168"/>
    <w:rsid w:val="25B8382E"/>
    <w:rsid w:val="25BF55B6"/>
    <w:rsid w:val="25C29A8C"/>
    <w:rsid w:val="25C5828C"/>
    <w:rsid w:val="25CE8EDB"/>
    <w:rsid w:val="25E16F0C"/>
    <w:rsid w:val="261CDA3F"/>
    <w:rsid w:val="2621A2A6"/>
    <w:rsid w:val="26277F38"/>
    <w:rsid w:val="2636EBFA"/>
    <w:rsid w:val="263CBA0B"/>
    <w:rsid w:val="2659EDAB"/>
    <w:rsid w:val="265E2D68"/>
    <w:rsid w:val="266DF169"/>
    <w:rsid w:val="26759FC4"/>
    <w:rsid w:val="267C0073"/>
    <w:rsid w:val="2687B310"/>
    <w:rsid w:val="268B11FE"/>
    <w:rsid w:val="2693DCDB"/>
    <w:rsid w:val="26A19F6E"/>
    <w:rsid w:val="26A79605"/>
    <w:rsid w:val="26BA6011"/>
    <w:rsid w:val="26C51EAD"/>
    <w:rsid w:val="26EA55AE"/>
    <w:rsid w:val="27064C80"/>
    <w:rsid w:val="270FFBB7"/>
    <w:rsid w:val="2714FE85"/>
    <w:rsid w:val="2716804B"/>
    <w:rsid w:val="27184E17"/>
    <w:rsid w:val="27221AAB"/>
    <w:rsid w:val="2727C10E"/>
    <w:rsid w:val="272D89C6"/>
    <w:rsid w:val="2731EAD8"/>
    <w:rsid w:val="273C1D3F"/>
    <w:rsid w:val="27693335"/>
    <w:rsid w:val="2769A527"/>
    <w:rsid w:val="276CB3C7"/>
    <w:rsid w:val="27792178"/>
    <w:rsid w:val="278981B8"/>
    <w:rsid w:val="279C511B"/>
    <w:rsid w:val="27D61921"/>
    <w:rsid w:val="27DB419A"/>
    <w:rsid w:val="27F038A2"/>
    <w:rsid w:val="28239FEC"/>
    <w:rsid w:val="283A4A26"/>
    <w:rsid w:val="283D4662"/>
    <w:rsid w:val="283F0DED"/>
    <w:rsid w:val="2844F3CB"/>
    <w:rsid w:val="28567226"/>
    <w:rsid w:val="2878428B"/>
    <w:rsid w:val="287F4AE0"/>
    <w:rsid w:val="2882891E"/>
    <w:rsid w:val="28A1F8AD"/>
    <w:rsid w:val="28ABD900"/>
    <w:rsid w:val="28AFA223"/>
    <w:rsid w:val="28B0642D"/>
    <w:rsid w:val="28CB75A1"/>
    <w:rsid w:val="28D1DC7C"/>
    <w:rsid w:val="28EFCC64"/>
    <w:rsid w:val="28F2FD4C"/>
    <w:rsid w:val="28F84B4D"/>
    <w:rsid w:val="29161EC0"/>
    <w:rsid w:val="292B0FA5"/>
    <w:rsid w:val="294A5223"/>
    <w:rsid w:val="29783011"/>
    <w:rsid w:val="29790D24"/>
    <w:rsid w:val="29796AFA"/>
    <w:rsid w:val="29811025"/>
    <w:rsid w:val="29859218"/>
    <w:rsid w:val="2988AA21"/>
    <w:rsid w:val="2995760C"/>
    <w:rsid w:val="2996DF1B"/>
    <w:rsid w:val="29A0A727"/>
    <w:rsid w:val="29ACDE78"/>
    <w:rsid w:val="29B9F78E"/>
    <w:rsid w:val="29C8ECD0"/>
    <w:rsid w:val="29CCB94D"/>
    <w:rsid w:val="29E1E39A"/>
    <w:rsid w:val="29E8C605"/>
    <w:rsid w:val="29ED72A0"/>
    <w:rsid w:val="2A04D5F1"/>
    <w:rsid w:val="2A04EDDC"/>
    <w:rsid w:val="2A191056"/>
    <w:rsid w:val="2A316E1D"/>
    <w:rsid w:val="2A3882BC"/>
    <w:rsid w:val="2A418051"/>
    <w:rsid w:val="2A6241BE"/>
    <w:rsid w:val="2A6D915D"/>
    <w:rsid w:val="2A79F624"/>
    <w:rsid w:val="2A9E3D94"/>
    <w:rsid w:val="2A9F8214"/>
    <w:rsid w:val="2AB14EB9"/>
    <w:rsid w:val="2AB22C17"/>
    <w:rsid w:val="2AE056F0"/>
    <w:rsid w:val="2AE2DF61"/>
    <w:rsid w:val="2AE7F852"/>
    <w:rsid w:val="2AE904F7"/>
    <w:rsid w:val="2AF04208"/>
    <w:rsid w:val="2B0816E2"/>
    <w:rsid w:val="2B166ED0"/>
    <w:rsid w:val="2B1A65E7"/>
    <w:rsid w:val="2B29D309"/>
    <w:rsid w:val="2B3870B7"/>
    <w:rsid w:val="2B56F659"/>
    <w:rsid w:val="2B5C88C7"/>
    <w:rsid w:val="2B639BCC"/>
    <w:rsid w:val="2B755326"/>
    <w:rsid w:val="2B875BF0"/>
    <w:rsid w:val="2B8C8D2A"/>
    <w:rsid w:val="2B97CD51"/>
    <w:rsid w:val="2B9F0D0E"/>
    <w:rsid w:val="2BB06D1A"/>
    <w:rsid w:val="2BB2AC1B"/>
    <w:rsid w:val="2BBB4380"/>
    <w:rsid w:val="2BDD5CCF"/>
    <w:rsid w:val="2C103ECA"/>
    <w:rsid w:val="2C149607"/>
    <w:rsid w:val="2C184B4A"/>
    <w:rsid w:val="2C202C23"/>
    <w:rsid w:val="2C2DAC17"/>
    <w:rsid w:val="2C363982"/>
    <w:rsid w:val="2C4135E8"/>
    <w:rsid w:val="2C561071"/>
    <w:rsid w:val="2C581370"/>
    <w:rsid w:val="2C5D661A"/>
    <w:rsid w:val="2C641CD3"/>
    <w:rsid w:val="2C656908"/>
    <w:rsid w:val="2C7462F7"/>
    <w:rsid w:val="2C89946A"/>
    <w:rsid w:val="2C8B25ED"/>
    <w:rsid w:val="2C9EC01B"/>
    <w:rsid w:val="2CB51CFF"/>
    <w:rsid w:val="2CB9CE7D"/>
    <w:rsid w:val="2CCC3530"/>
    <w:rsid w:val="2CD40992"/>
    <w:rsid w:val="2CE8A4CD"/>
    <w:rsid w:val="2CFB5E60"/>
    <w:rsid w:val="2D070AFE"/>
    <w:rsid w:val="2D0EA57B"/>
    <w:rsid w:val="2D49CFC6"/>
    <w:rsid w:val="2D513716"/>
    <w:rsid w:val="2D5D7E99"/>
    <w:rsid w:val="2D5F0878"/>
    <w:rsid w:val="2D662B6D"/>
    <w:rsid w:val="2D680EFF"/>
    <w:rsid w:val="2D72478C"/>
    <w:rsid w:val="2D771D42"/>
    <w:rsid w:val="2D8778D1"/>
    <w:rsid w:val="2D916F4C"/>
    <w:rsid w:val="2DA1D1B7"/>
    <w:rsid w:val="2DA95134"/>
    <w:rsid w:val="2DBDEE44"/>
    <w:rsid w:val="2DC60FD4"/>
    <w:rsid w:val="2DCEE327"/>
    <w:rsid w:val="2DF74535"/>
    <w:rsid w:val="2E1B67A7"/>
    <w:rsid w:val="2E1D9B42"/>
    <w:rsid w:val="2E2188FA"/>
    <w:rsid w:val="2E2441AF"/>
    <w:rsid w:val="2E398591"/>
    <w:rsid w:val="2E3A3EF8"/>
    <w:rsid w:val="2E4AAA8A"/>
    <w:rsid w:val="2E4B84A9"/>
    <w:rsid w:val="2E4FC173"/>
    <w:rsid w:val="2E653185"/>
    <w:rsid w:val="2E672BF9"/>
    <w:rsid w:val="2E6AB943"/>
    <w:rsid w:val="2E7DE4F8"/>
    <w:rsid w:val="2E92A082"/>
    <w:rsid w:val="2E9E202A"/>
    <w:rsid w:val="2E9FA83C"/>
    <w:rsid w:val="2EBBD5E4"/>
    <w:rsid w:val="2EBBEA1D"/>
    <w:rsid w:val="2EBEC854"/>
    <w:rsid w:val="2EF0FB06"/>
    <w:rsid w:val="2EFFF1D7"/>
    <w:rsid w:val="2F07A9FB"/>
    <w:rsid w:val="2F1562E1"/>
    <w:rsid w:val="2F18D4F2"/>
    <w:rsid w:val="2F26951D"/>
    <w:rsid w:val="2F504FFA"/>
    <w:rsid w:val="2F6E8BE0"/>
    <w:rsid w:val="2F6ECDF6"/>
    <w:rsid w:val="2F79E3D4"/>
    <w:rsid w:val="2F826FA0"/>
    <w:rsid w:val="2F916818"/>
    <w:rsid w:val="2FA6EC86"/>
    <w:rsid w:val="2FA9384B"/>
    <w:rsid w:val="2FB4EE89"/>
    <w:rsid w:val="2FB5D66F"/>
    <w:rsid w:val="2FD6979C"/>
    <w:rsid w:val="2FE14B58"/>
    <w:rsid w:val="2FE746CD"/>
    <w:rsid w:val="2FEC3C40"/>
    <w:rsid w:val="3016182B"/>
    <w:rsid w:val="301BE6B2"/>
    <w:rsid w:val="301C53F1"/>
    <w:rsid w:val="3023F853"/>
    <w:rsid w:val="30318257"/>
    <w:rsid w:val="30388DA8"/>
    <w:rsid w:val="303EB8D3"/>
    <w:rsid w:val="3047EAF1"/>
    <w:rsid w:val="304F96A1"/>
    <w:rsid w:val="3066A162"/>
    <w:rsid w:val="306A4C0B"/>
    <w:rsid w:val="30706CDA"/>
    <w:rsid w:val="30757D22"/>
    <w:rsid w:val="307618D6"/>
    <w:rsid w:val="307681FF"/>
    <w:rsid w:val="307916A7"/>
    <w:rsid w:val="30DC2207"/>
    <w:rsid w:val="30F60EA2"/>
    <w:rsid w:val="30FB346A"/>
    <w:rsid w:val="3101A012"/>
    <w:rsid w:val="310EE717"/>
    <w:rsid w:val="31114216"/>
    <w:rsid w:val="31152E41"/>
    <w:rsid w:val="3118EB7F"/>
    <w:rsid w:val="313F82E3"/>
    <w:rsid w:val="31439DD3"/>
    <w:rsid w:val="316059C5"/>
    <w:rsid w:val="3170C889"/>
    <w:rsid w:val="317917A3"/>
    <w:rsid w:val="3181B101"/>
    <w:rsid w:val="3186DAA4"/>
    <w:rsid w:val="3190957F"/>
    <w:rsid w:val="31997B0B"/>
    <w:rsid w:val="319EB518"/>
    <w:rsid w:val="319F88EE"/>
    <w:rsid w:val="319FA49B"/>
    <w:rsid w:val="31A2E3AD"/>
    <w:rsid w:val="31AD94B2"/>
    <w:rsid w:val="31AF748A"/>
    <w:rsid w:val="31C03033"/>
    <w:rsid w:val="31C7CFFD"/>
    <w:rsid w:val="31E1045F"/>
    <w:rsid w:val="31E2F41D"/>
    <w:rsid w:val="31E9AE87"/>
    <w:rsid w:val="31FCF712"/>
    <w:rsid w:val="320818E8"/>
    <w:rsid w:val="32277510"/>
    <w:rsid w:val="323E0AFF"/>
    <w:rsid w:val="324B0092"/>
    <w:rsid w:val="3250E80D"/>
    <w:rsid w:val="3255A9B4"/>
    <w:rsid w:val="325D0FE3"/>
    <w:rsid w:val="3269F52F"/>
    <w:rsid w:val="326C77A7"/>
    <w:rsid w:val="32797BB9"/>
    <w:rsid w:val="327F1BCE"/>
    <w:rsid w:val="328F0A2D"/>
    <w:rsid w:val="3291ABAF"/>
    <w:rsid w:val="329A1486"/>
    <w:rsid w:val="32CBF0B1"/>
    <w:rsid w:val="32CF6A99"/>
    <w:rsid w:val="32DA7449"/>
    <w:rsid w:val="32DEA946"/>
    <w:rsid w:val="33046044"/>
    <w:rsid w:val="332550A0"/>
    <w:rsid w:val="3327D834"/>
    <w:rsid w:val="332E4B9C"/>
    <w:rsid w:val="3332C706"/>
    <w:rsid w:val="3332C8C8"/>
    <w:rsid w:val="33370C86"/>
    <w:rsid w:val="33393EC3"/>
    <w:rsid w:val="333F4CD4"/>
    <w:rsid w:val="33458C97"/>
    <w:rsid w:val="334D0D9B"/>
    <w:rsid w:val="334D6E65"/>
    <w:rsid w:val="3370D962"/>
    <w:rsid w:val="337B157C"/>
    <w:rsid w:val="337E1198"/>
    <w:rsid w:val="33AD4CF2"/>
    <w:rsid w:val="33AE4503"/>
    <w:rsid w:val="33BA61D3"/>
    <w:rsid w:val="33EC1A00"/>
    <w:rsid w:val="33F641EB"/>
    <w:rsid w:val="343B57B2"/>
    <w:rsid w:val="343CF37B"/>
    <w:rsid w:val="344F1C2C"/>
    <w:rsid w:val="3452FC69"/>
    <w:rsid w:val="3458B192"/>
    <w:rsid w:val="345BEFDF"/>
    <w:rsid w:val="34718375"/>
    <w:rsid w:val="34889C90"/>
    <w:rsid w:val="348FAB4A"/>
    <w:rsid w:val="349AA74C"/>
    <w:rsid w:val="34B68261"/>
    <w:rsid w:val="34C891C6"/>
    <w:rsid w:val="34CB0847"/>
    <w:rsid w:val="34D7043D"/>
    <w:rsid w:val="34DF4B97"/>
    <w:rsid w:val="34E14E66"/>
    <w:rsid w:val="34E4450A"/>
    <w:rsid w:val="34FE5326"/>
    <w:rsid w:val="352AC87B"/>
    <w:rsid w:val="352DAC8B"/>
    <w:rsid w:val="3551CF01"/>
    <w:rsid w:val="355D2FF3"/>
    <w:rsid w:val="355E8DD0"/>
    <w:rsid w:val="356062B8"/>
    <w:rsid w:val="3570DDE8"/>
    <w:rsid w:val="357DC983"/>
    <w:rsid w:val="3581B05B"/>
    <w:rsid w:val="358FF2E1"/>
    <w:rsid w:val="35921D86"/>
    <w:rsid w:val="35B2F7B8"/>
    <w:rsid w:val="35BE97EA"/>
    <w:rsid w:val="35C1637B"/>
    <w:rsid w:val="35DD7C53"/>
    <w:rsid w:val="35E70F38"/>
    <w:rsid w:val="35E8FB1B"/>
    <w:rsid w:val="35FD946F"/>
    <w:rsid w:val="362EEE2B"/>
    <w:rsid w:val="36483C56"/>
    <w:rsid w:val="365A36FD"/>
    <w:rsid w:val="367FAB4E"/>
    <w:rsid w:val="368EB55A"/>
    <w:rsid w:val="36B0483F"/>
    <w:rsid w:val="36B0CB32"/>
    <w:rsid w:val="36C25A34"/>
    <w:rsid w:val="36EA678B"/>
    <w:rsid w:val="36F5BCC6"/>
    <w:rsid w:val="36F7A623"/>
    <w:rsid w:val="36FE2EAD"/>
    <w:rsid w:val="371B7378"/>
    <w:rsid w:val="371FCC9F"/>
    <w:rsid w:val="3726750E"/>
    <w:rsid w:val="373BCEFB"/>
    <w:rsid w:val="373F0B39"/>
    <w:rsid w:val="37422E0D"/>
    <w:rsid w:val="37428DC6"/>
    <w:rsid w:val="37494219"/>
    <w:rsid w:val="3752FDC9"/>
    <w:rsid w:val="3757BC20"/>
    <w:rsid w:val="37636CD3"/>
    <w:rsid w:val="37684A25"/>
    <w:rsid w:val="376B5DA1"/>
    <w:rsid w:val="376BBEF0"/>
    <w:rsid w:val="3778F1B0"/>
    <w:rsid w:val="3784A42F"/>
    <w:rsid w:val="378DA7D1"/>
    <w:rsid w:val="37B9B1CF"/>
    <w:rsid w:val="37C6FF65"/>
    <w:rsid w:val="37CAD686"/>
    <w:rsid w:val="37CCD6BA"/>
    <w:rsid w:val="37E96D84"/>
    <w:rsid w:val="37E9FB91"/>
    <w:rsid w:val="3802ADAA"/>
    <w:rsid w:val="3804DA38"/>
    <w:rsid w:val="381CC0FE"/>
    <w:rsid w:val="382880A2"/>
    <w:rsid w:val="3832830F"/>
    <w:rsid w:val="3847AD4F"/>
    <w:rsid w:val="384FCDE4"/>
    <w:rsid w:val="3852D205"/>
    <w:rsid w:val="3852F16E"/>
    <w:rsid w:val="38590FD2"/>
    <w:rsid w:val="387787A6"/>
    <w:rsid w:val="3890635D"/>
    <w:rsid w:val="3893D2F7"/>
    <w:rsid w:val="389E017E"/>
    <w:rsid w:val="38A25E75"/>
    <w:rsid w:val="38B6EFE9"/>
    <w:rsid w:val="38C080A5"/>
    <w:rsid w:val="38C0F097"/>
    <w:rsid w:val="39002A36"/>
    <w:rsid w:val="390B9755"/>
    <w:rsid w:val="390DC259"/>
    <w:rsid w:val="391BD382"/>
    <w:rsid w:val="3939F9C8"/>
    <w:rsid w:val="393E67EA"/>
    <w:rsid w:val="3957004E"/>
    <w:rsid w:val="396616C1"/>
    <w:rsid w:val="3972F319"/>
    <w:rsid w:val="3984AB19"/>
    <w:rsid w:val="39889AEB"/>
    <w:rsid w:val="3988CFC8"/>
    <w:rsid w:val="399BDD3F"/>
    <w:rsid w:val="399D4BBE"/>
    <w:rsid w:val="399DEC77"/>
    <w:rsid w:val="39C125D1"/>
    <w:rsid w:val="39C56B92"/>
    <w:rsid w:val="39E96978"/>
    <w:rsid w:val="3A059AB5"/>
    <w:rsid w:val="3A1695E2"/>
    <w:rsid w:val="3A22F1FF"/>
    <w:rsid w:val="3A2D5344"/>
    <w:rsid w:val="3A2D5FF9"/>
    <w:rsid w:val="3A308892"/>
    <w:rsid w:val="3A31E5F5"/>
    <w:rsid w:val="3A5C2F17"/>
    <w:rsid w:val="3A653F81"/>
    <w:rsid w:val="3A668BF1"/>
    <w:rsid w:val="3A799210"/>
    <w:rsid w:val="3A8E7D75"/>
    <w:rsid w:val="3A96A65C"/>
    <w:rsid w:val="3AA1177F"/>
    <w:rsid w:val="3AC682B3"/>
    <w:rsid w:val="3AC6BFD0"/>
    <w:rsid w:val="3AC7AB27"/>
    <w:rsid w:val="3AC7C124"/>
    <w:rsid w:val="3ACD7CE1"/>
    <w:rsid w:val="3AE6FF3D"/>
    <w:rsid w:val="3AE7E3AF"/>
    <w:rsid w:val="3AED7432"/>
    <w:rsid w:val="3B0848C6"/>
    <w:rsid w:val="3B0FCF53"/>
    <w:rsid w:val="3B13E0E6"/>
    <w:rsid w:val="3B26E597"/>
    <w:rsid w:val="3B291ED3"/>
    <w:rsid w:val="3B2D2C3A"/>
    <w:rsid w:val="3B2FD8A4"/>
    <w:rsid w:val="3B593AB8"/>
    <w:rsid w:val="3B5E4F3C"/>
    <w:rsid w:val="3B673270"/>
    <w:rsid w:val="3B8D034A"/>
    <w:rsid w:val="3B9BCA09"/>
    <w:rsid w:val="3BAFAD2C"/>
    <w:rsid w:val="3BCDB58A"/>
    <w:rsid w:val="3BEC801E"/>
    <w:rsid w:val="3C026C73"/>
    <w:rsid w:val="3C083EE7"/>
    <w:rsid w:val="3C234025"/>
    <w:rsid w:val="3C2A5417"/>
    <w:rsid w:val="3C2FCE31"/>
    <w:rsid w:val="3C440B01"/>
    <w:rsid w:val="3C8251D0"/>
    <w:rsid w:val="3CA1D23C"/>
    <w:rsid w:val="3CA69059"/>
    <w:rsid w:val="3CB3A535"/>
    <w:rsid w:val="3CDC309E"/>
    <w:rsid w:val="3CE803AF"/>
    <w:rsid w:val="3CF56368"/>
    <w:rsid w:val="3CF99DC7"/>
    <w:rsid w:val="3CFA93E0"/>
    <w:rsid w:val="3D0A608D"/>
    <w:rsid w:val="3D0CFE6B"/>
    <w:rsid w:val="3D17000D"/>
    <w:rsid w:val="3D26AE14"/>
    <w:rsid w:val="3D2A5326"/>
    <w:rsid w:val="3D2B5379"/>
    <w:rsid w:val="3D491103"/>
    <w:rsid w:val="3D657DEC"/>
    <w:rsid w:val="3D801308"/>
    <w:rsid w:val="3D876D9C"/>
    <w:rsid w:val="3D8B2E03"/>
    <w:rsid w:val="3D8E7036"/>
    <w:rsid w:val="3D9534E0"/>
    <w:rsid w:val="3D9B520B"/>
    <w:rsid w:val="3DB49A88"/>
    <w:rsid w:val="3DB6AB48"/>
    <w:rsid w:val="3DD9588A"/>
    <w:rsid w:val="3DE0CA89"/>
    <w:rsid w:val="3DE33F0E"/>
    <w:rsid w:val="3DE4E22F"/>
    <w:rsid w:val="3DEDE812"/>
    <w:rsid w:val="3DF1A399"/>
    <w:rsid w:val="3E09B767"/>
    <w:rsid w:val="3E25BC01"/>
    <w:rsid w:val="3E2D7E86"/>
    <w:rsid w:val="3E2ED21C"/>
    <w:rsid w:val="3E37AED2"/>
    <w:rsid w:val="3E62031F"/>
    <w:rsid w:val="3E7F09AB"/>
    <w:rsid w:val="3E848AC5"/>
    <w:rsid w:val="3EAA1ECE"/>
    <w:rsid w:val="3EB92D9F"/>
    <w:rsid w:val="3EBBC03D"/>
    <w:rsid w:val="3EBD4BE8"/>
    <w:rsid w:val="3ECBBE95"/>
    <w:rsid w:val="3EF2281F"/>
    <w:rsid w:val="3EF40353"/>
    <w:rsid w:val="3F11E02E"/>
    <w:rsid w:val="3F16CBC6"/>
    <w:rsid w:val="3F21C9E9"/>
    <w:rsid w:val="3F318C64"/>
    <w:rsid w:val="3F62BB6D"/>
    <w:rsid w:val="3F6A4BF6"/>
    <w:rsid w:val="3F6EE41C"/>
    <w:rsid w:val="3F7B0071"/>
    <w:rsid w:val="3F7ED2DD"/>
    <w:rsid w:val="3F8486B7"/>
    <w:rsid w:val="3F91FDAE"/>
    <w:rsid w:val="3F9CC63C"/>
    <w:rsid w:val="3FAF7B5E"/>
    <w:rsid w:val="3FD474CC"/>
    <w:rsid w:val="3FDF6037"/>
    <w:rsid w:val="3FEBF1C9"/>
    <w:rsid w:val="40041716"/>
    <w:rsid w:val="4019D578"/>
    <w:rsid w:val="40253840"/>
    <w:rsid w:val="402B460D"/>
    <w:rsid w:val="4044850F"/>
    <w:rsid w:val="404983A8"/>
    <w:rsid w:val="404CB25C"/>
    <w:rsid w:val="40506F81"/>
    <w:rsid w:val="4059B049"/>
    <w:rsid w:val="406D6BFB"/>
    <w:rsid w:val="408DF21C"/>
    <w:rsid w:val="409AD5C0"/>
    <w:rsid w:val="409AF6A5"/>
    <w:rsid w:val="40B046C6"/>
    <w:rsid w:val="40BA3A3C"/>
    <w:rsid w:val="40DD7956"/>
    <w:rsid w:val="40EDCCF5"/>
    <w:rsid w:val="40FD478A"/>
    <w:rsid w:val="410145A1"/>
    <w:rsid w:val="410EA2DB"/>
    <w:rsid w:val="4110ED4E"/>
    <w:rsid w:val="412EF4F3"/>
    <w:rsid w:val="413339AC"/>
    <w:rsid w:val="4140330C"/>
    <w:rsid w:val="416B8860"/>
    <w:rsid w:val="4187FC6D"/>
    <w:rsid w:val="41996510"/>
    <w:rsid w:val="419CA77F"/>
    <w:rsid w:val="41A203FD"/>
    <w:rsid w:val="41CC9680"/>
    <w:rsid w:val="41E3DACC"/>
    <w:rsid w:val="41E75D91"/>
    <w:rsid w:val="41E7E8A8"/>
    <w:rsid w:val="41FCCE30"/>
    <w:rsid w:val="41FEE6C6"/>
    <w:rsid w:val="4223E212"/>
    <w:rsid w:val="42250756"/>
    <w:rsid w:val="422E87F1"/>
    <w:rsid w:val="42343E05"/>
    <w:rsid w:val="423A310B"/>
    <w:rsid w:val="4279DF6B"/>
    <w:rsid w:val="428A0EEE"/>
    <w:rsid w:val="428E8AA7"/>
    <w:rsid w:val="42B6ED1D"/>
    <w:rsid w:val="42BEDB3A"/>
    <w:rsid w:val="42D22C88"/>
    <w:rsid w:val="42D7C6B7"/>
    <w:rsid w:val="42E5E3A1"/>
    <w:rsid w:val="42E8C43A"/>
    <w:rsid w:val="42F155AE"/>
    <w:rsid w:val="43014025"/>
    <w:rsid w:val="43121A74"/>
    <w:rsid w:val="431A62AF"/>
    <w:rsid w:val="431D2B48"/>
    <w:rsid w:val="43363C1C"/>
    <w:rsid w:val="4336B833"/>
    <w:rsid w:val="43454ADD"/>
    <w:rsid w:val="4351362F"/>
    <w:rsid w:val="435646C7"/>
    <w:rsid w:val="435CB4DE"/>
    <w:rsid w:val="4367AC7C"/>
    <w:rsid w:val="43742B4D"/>
    <w:rsid w:val="43791382"/>
    <w:rsid w:val="4382E171"/>
    <w:rsid w:val="4384F28D"/>
    <w:rsid w:val="439C5B5E"/>
    <w:rsid w:val="43B931DB"/>
    <w:rsid w:val="43D93502"/>
    <w:rsid w:val="43DF9F91"/>
    <w:rsid w:val="43E4D1B5"/>
    <w:rsid w:val="43F2167D"/>
    <w:rsid w:val="4413DFFD"/>
    <w:rsid w:val="441886DB"/>
    <w:rsid w:val="4435A00D"/>
    <w:rsid w:val="444A4837"/>
    <w:rsid w:val="44566D08"/>
    <w:rsid w:val="4459B697"/>
    <w:rsid w:val="445BB752"/>
    <w:rsid w:val="44641F27"/>
    <w:rsid w:val="44668D95"/>
    <w:rsid w:val="446C58C5"/>
    <w:rsid w:val="448ABFFD"/>
    <w:rsid w:val="448D3805"/>
    <w:rsid w:val="44B7EC62"/>
    <w:rsid w:val="44BA9A50"/>
    <w:rsid w:val="44DEA2AF"/>
    <w:rsid w:val="44E04A51"/>
    <w:rsid w:val="44E362A0"/>
    <w:rsid w:val="44F482AF"/>
    <w:rsid w:val="44FE929B"/>
    <w:rsid w:val="45011544"/>
    <w:rsid w:val="45110975"/>
    <w:rsid w:val="451C9938"/>
    <w:rsid w:val="452BE653"/>
    <w:rsid w:val="453A9CA4"/>
    <w:rsid w:val="4540C54E"/>
    <w:rsid w:val="4546A034"/>
    <w:rsid w:val="4564CAA8"/>
    <w:rsid w:val="45691092"/>
    <w:rsid w:val="4590F4DC"/>
    <w:rsid w:val="459212C7"/>
    <w:rsid w:val="459343CB"/>
    <w:rsid w:val="45964FE6"/>
    <w:rsid w:val="4597440D"/>
    <w:rsid w:val="45AA469D"/>
    <w:rsid w:val="45B48EDD"/>
    <w:rsid w:val="45B8A2F8"/>
    <w:rsid w:val="45C49392"/>
    <w:rsid w:val="45D8D1E1"/>
    <w:rsid w:val="45E17BC8"/>
    <w:rsid w:val="46061846"/>
    <w:rsid w:val="46188BA1"/>
    <w:rsid w:val="4624809C"/>
    <w:rsid w:val="4624B199"/>
    <w:rsid w:val="4641E74C"/>
    <w:rsid w:val="4649B0C0"/>
    <w:rsid w:val="465CA812"/>
    <w:rsid w:val="46666675"/>
    <w:rsid w:val="4670535F"/>
    <w:rsid w:val="4675B7C2"/>
    <w:rsid w:val="467B4073"/>
    <w:rsid w:val="46839B35"/>
    <w:rsid w:val="46AE504B"/>
    <w:rsid w:val="46B708F7"/>
    <w:rsid w:val="46C33ACA"/>
    <w:rsid w:val="46C375F2"/>
    <w:rsid w:val="46D91F70"/>
    <w:rsid w:val="46EA3319"/>
    <w:rsid w:val="46EAEDBB"/>
    <w:rsid w:val="4710F082"/>
    <w:rsid w:val="4718EF49"/>
    <w:rsid w:val="4728AA80"/>
    <w:rsid w:val="47299EE7"/>
    <w:rsid w:val="4732BDD1"/>
    <w:rsid w:val="4736CD11"/>
    <w:rsid w:val="4737CF21"/>
    <w:rsid w:val="47494169"/>
    <w:rsid w:val="475AE2E8"/>
    <w:rsid w:val="4760F0B9"/>
    <w:rsid w:val="476EB697"/>
    <w:rsid w:val="47764E2E"/>
    <w:rsid w:val="477E1776"/>
    <w:rsid w:val="4793FCDB"/>
    <w:rsid w:val="47985C9D"/>
    <w:rsid w:val="47A1CE3B"/>
    <w:rsid w:val="47B443DF"/>
    <w:rsid w:val="47F6FDAA"/>
    <w:rsid w:val="480CF879"/>
    <w:rsid w:val="482BF918"/>
    <w:rsid w:val="48391A7E"/>
    <w:rsid w:val="4841EE20"/>
    <w:rsid w:val="484CC2FF"/>
    <w:rsid w:val="4857548F"/>
    <w:rsid w:val="48642C21"/>
    <w:rsid w:val="486B2FAE"/>
    <w:rsid w:val="487EA6B8"/>
    <w:rsid w:val="48811CE5"/>
    <w:rsid w:val="48A7F16E"/>
    <w:rsid w:val="48AB8B23"/>
    <w:rsid w:val="48B76E29"/>
    <w:rsid w:val="48B7E635"/>
    <w:rsid w:val="48CE91B5"/>
    <w:rsid w:val="48D6F1BB"/>
    <w:rsid w:val="48DE266A"/>
    <w:rsid w:val="48F1D2B1"/>
    <w:rsid w:val="48F49A94"/>
    <w:rsid w:val="48FC22EB"/>
    <w:rsid w:val="49073906"/>
    <w:rsid w:val="491153A1"/>
    <w:rsid w:val="4914E2BD"/>
    <w:rsid w:val="493D6799"/>
    <w:rsid w:val="495F26A9"/>
    <w:rsid w:val="496653C2"/>
    <w:rsid w:val="496B7BC2"/>
    <w:rsid w:val="4974693B"/>
    <w:rsid w:val="497BE2E5"/>
    <w:rsid w:val="499460C0"/>
    <w:rsid w:val="49B32097"/>
    <w:rsid w:val="49C204D4"/>
    <w:rsid w:val="49ED83EB"/>
    <w:rsid w:val="4A22399F"/>
    <w:rsid w:val="4A28F75D"/>
    <w:rsid w:val="4A34F140"/>
    <w:rsid w:val="4A430741"/>
    <w:rsid w:val="4A6F696A"/>
    <w:rsid w:val="4A6FD68A"/>
    <w:rsid w:val="4A8521D7"/>
    <w:rsid w:val="4A8FE54E"/>
    <w:rsid w:val="4A98EE57"/>
    <w:rsid w:val="4AB4AF0B"/>
    <w:rsid w:val="4AB98450"/>
    <w:rsid w:val="4ADAA31B"/>
    <w:rsid w:val="4AE1BEF9"/>
    <w:rsid w:val="4AE7051C"/>
    <w:rsid w:val="4B34FE73"/>
    <w:rsid w:val="4B402C51"/>
    <w:rsid w:val="4B4C7323"/>
    <w:rsid w:val="4B4D21C3"/>
    <w:rsid w:val="4B5715C1"/>
    <w:rsid w:val="4B6E87E5"/>
    <w:rsid w:val="4B7FE763"/>
    <w:rsid w:val="4B868BEB"/>
    <w:rsid w:val="4B948495"/>
    <w:rsid w:val="4BAEBDC4"/>
    <w:rsid w:val="4BB1F2C5"/>
    <w:rsid w:val="4BB45602"/>
    <w:rsid w:val="4BB8D1CB"/>
    <w:rsid w:val="4BCF4099"/>
    <w:rsid w:val="4BD5EEA0"/>
    <w:rsid w:val="4BF3B937"/>
    <w:rsid w:val="4BF529AB"/>
    <w:rsid w:val="4BFFDF19"/>
    <w:rsid w:val="4C01D237"/>
    <w:rsid w:val="4C1176F1"/>
    <w:rsid w:val="4C2D7288"/>
    <w:rsid w:val="4C2F66EC"/>
    <w:rsid w:val="4C44A369"/>
    <w:rsid w:val="4C486C76"/>
    <w:rsid w:val="4C549DC8"/>
    <w:rsid w:val="4C6469B8"/>
    <w:rsid w:val="4C72CAE9"/>
    <w:rsid w:val="4C73E546"/>
    <w:rsid w:val="4C78D050"/>
    <w:rsid w:val="4C91443F"/>
    <w:rsid w:val="4C97DC8E"/>
    <w:rsid w:val="4CA41804"/>
    <w:rsid w:val="4CAFA866"/>
    <w:rsid w:val="4CBE39C5"/>
    <w:rsid w:val="4CD45EDF"/>
    <w:rsid w:val="4CFC697A"/>
    <w:rsid w:val="4D024EB6"/>
    <w:rsid w:val="4D10A129"/>
    <w:rsid w:val="4D11EF05"/>
    <w:rsid w:val="4D27B66D"/>
    <w:rsid w:val="4D44B70D"/>
    <w:rsid w:val="4D64B41F"/>
    <w:rsid w:val="4D6AF872"/>
    <w:rsid w:val="4D76AE37"/>
    <w:rsid w:val="4D8E9312"/>
    <w:rsid w:val="4D96E43B"/>
    <w:rsid w:val="4D99172E"/>
    <w:rsid w:val="4DBCADC9"/>
    <w:rsid w:val="4DC6421F"/>
    <w:rsid w:val="4DC86097"/>
    <w:rsid w:val="4DD04C7A"/>
    <w:rsid w:val="4DF00522"/>
    <w:rsid w:val="4E04FF6D"/>
    <w:rsid w:val="4E123693"/>
    <w:rsid w:val="4E12EB19"/>
    <w:rsid w:val="4E2224DB"/>
    <w:rsid w:val="4E47E903"/>
    <w:rsid w:val="4E63FFF5"/>
    <w:rsid w:val="4E7FEDA5"/>
    <w:rsid w:val="4E86D040"/>
    <w:rsid w:val="4E8A5DEE"/>
    <w:rsid w:val="4E8B1A3B"/>
    <w:rsid w:val="4EB9D667"/>
    <w:rsid w:val="4ED39ED7"/>
    <w:rsid w:val="4ED61AEF"/>
    <w:rsid w:val="4EDEB38A"/>
    <w:rsid w:val="4EF86610"/>
    <w:rsid w:val="4F07ABAD"/>
    <w:rsid w:val="4F1334E9"/>
    <w:rsid w:val="4F14DB14"/>
    <w:rsid w:val="4F2124B9"/>
    <w:rsid w:val="4F374929"/>
    <w:rsid w:val="4F399088"/>
    <w:rsid w:val="4F3C28D8"/>
    <w:rsid w:val="4F42D488"/>
    <w:rsid w:val="4F445192"/>
    <w:rsid w:val="4F452787"/>
    <w:rsid w:val="4F4E19ED"/>
    <w:rsid w:val="4F4F0F3B"/>
    <w:rsid w:val="4F5CB4C9"/>
    <w:rsid w:val="4F635EA5"/>
    <w:rsid w:val="4F64C974"/>
    <w:rsid w:val="4F76421C"/>
    <w:rsid w:val="4F7E3E44"/>
    <w:rsid w:val="4F8776DD"/>
    <w:rsid w:val="4F898B1B"/>
    <w:rsid w:val="4FA6D4C5"/>
    <w:rsid w:val="4FAB782F"/>
    <w:rsid w:val="4FC564D4"/>
    <w:rsid w:val="4FC99B15"/>
    <w:rsid w:val="4FD9DD9D"/>
    <w:rsid w:val="4FDDFAC8"/>
    <w:rsid w:val="4FE30ABE"/>
    <w:rsid w:val="4FE7228D"/>
    <w:rsid w:val="4FFDB06D"/>
    <w:rsid w:val="5008F88A"/>
    <w:rsid w:val="500B9525"/>
    <w:rsid w:val="500E3BE3"/>
    <w:rsid w:val="5012E86F"/>
    <w:rsid w:val="503C80F2"/>
    <w:rsid w:val="5040B66D"/>
    <w:rsid w:val="5049E3CA"/>
    <w:rsid w:val="505C8293"/>
    <w:rsid w:val="506C9372"/>
    <w:rsid w:val="50886B1F"/>
    <w:rsid w:val="508FEA51"/>
    <w:rsid w:val="509179F9"/>
    <w:rsid w:val="50919B36"/>
    <w:rsid w:val="5095C774"/>
    <w:rsid w:val="50984F67"/>
    <w:rsid w:val="509A6436"/>
    <w:rsid w:val="509E31E6"/>
    <w:rsid w:val="50AFE2B1"/>
    <w:rsid w:val="50B83841"/>
    <w:rsid w:val="50BC467C"/>
    <w:rsid w:val="50C29BF4"/>
    <w:rsid w:val="50D0143F"/>
    <w:rsid w:val="50D0CAE3"/>
    <w:rsid w:val="50F13548"/>
    <w:rsid w:val="511EF2E6"/>
    <w:rsid w:val="512AFF48"/>
    <w:rsid w:val="512CBE08"/>
    <w:rsid w:val="512DAC34"/>
    <w:rsid w:val="513745D1"/>
    <w:rsid w:val="51380533"/>
    <w:rsid w:val="51552EAA"/>
    <w:rsid w:val="5159DEC2"/>
    <w:rsid w:val="51713F8D"/>
    <w:rsid w:val="518D3C76"/>
    <w:rsid w:val="518FB307"/>
    <w:rsid w:val="51990890"/>
    <w:rsid w:val="5199D36E"/>
    <w:rsid w:val="51A4FDD8"/>
    <w:rsid w:val="51D93F91"/>
    <w:rsid w:val="51E186B3"/>
    <w:rsid w:val="51EEF5AD"/>
    <w:rsid w:val="51F913FA"/>
    <w:rsid w:val="51FA1A28"/>
    <w:rsid w:val="522722D3"/>
    <w:rsid w:val="52444810"/>
    <w:rsid w:val="5258C610"/>
    <w:rsid w:val="52A95DE7"/>
    <w:rsid w:val="52B6449E"/>
    <w:rsid w:val="52D74303"/>
    <w:rsid w:val="52E0E08C"/>
    <w:rsid w:val="52E90D91"/>
    <w:rsid w:val="52F0CF65"/>
    <w:rsid w:val="52F6DC56"/>
    <w:rsid w:val="530CAA1F"/>
    <w:rsid w:val="533374CE"/>
    <w:rsid w:val="5376BD6D"/>
    <w:rsid w:val="5384C74B"/>
    <w:rsid w:val="53990A54"/>
    <w:rsid w:val="53A8165C"/>
    <w:rsid w:val="53CFCE43"/>
    <w:rsid w:val="53D8E1E7"/>
    <w:rsid w:val="53DE9E29"/>
    <w:rsid w:val="54029685"/>
    <w:rsid w:val="542856F3"/>
    <w:rsid w:val="546822A9"/>
    <w:rsid w:val="5470430B"/>
    <w:rsid w:val="5477845F"/>
    <w:rsid w:val="548601C0"/>
    <w:rsid w:val="548EF8A3"/>
    <w:rsid w:val="549201AB"/>
    <w:rsid w:val="549EF353"/>
    <w:rsid w:val="54C3AC72"/>
    <w:rsid w:val="54C8ADC6"/>
    <w:rsid w:val="54CB53C5"/>
    <w:rsid w:val="54D36A2E"/>
    <w:rsid w:val="54D74A60"/>
    <w:rsid w:val="54DDE0C9"/>
    <w:rsid w:val="54EDC203"/>
    <w:rsid w:val="54FC4B2F"/>
    <w:rsid w:val="55277F26"/>
    <w:rsid w:val="5537FAAE"/>
    <w:rsid w:val="554DA860"/>
    <w:rsid w:val="555BCBCD"/>
    <w:rsid w:val="558EB6D2"/>
    <w:rsid w:val="5593D1EA"/>
    <w:rsid w:val="55ABF640"/>
    <w:rsid w:val="55AD7081"/>
    <w:rsid w:val="55B9CB73"/>
    <w:rsid w:val="55BAA163"/>
    <w:rsid w:val="55BCEAC1"/>
    <w:rsid w:val="55CD5294"/>
    <w:rsid w:val="55D28CE6"/>
    <w:rsid w:val="55D3DB42"/>
    <w:rsid w:val="55E14525"/>
    <w:rsid w:val="55E68B85"/>
    <w:rsid w:val="55F51B3F"/>
    <w:rsid w:val="55F6A222"/>
    <w:rsid w:val="560D466A"/>
    <w:rsid w:val="56138113"/>
    <w:rsid w:val="5618A83F"/>
    <w:rsid w:val="561D672A"/>
    <w:rsid w:val="562980C7"/>
    <w:rsid w:val="562A3485"/>
    <w:rsid w:val="562B7AEA"/>
    <w:rsid w:val="56320A56"/>
    <w:rsid w:val="56599EB2"/>
    <w:rsid w:val="565ABF4F"/>
    <w:rsid w:val="5668D7E9"/>
    <w:rsid w:val="566AEE0C"/>
    <w:rsid w:val="566DA8DD"/>
    <w:rsid w:val="56828F71"/>
    <w:rsid w:val="5684FB48"/>
    <w:rsid w:val="56860354"/>
    <w:rsid w:val="568A5D76"/>
    <w:rsid w:val="568E75A2"/>
    <w:rsid w:val="5695B08E"/>
    <w:rsid w:val="56AA3EE6"/>
    <w:rsid w:val="56BBD830"/>
    <w:rsid w:val="56D01572"/>
    <w:rsid w:val="570600C5"/>
    <w:rsid w:val="570A7EB2"/>
    <w:rsid w:val="5762233A"/>
    <w:rsid w:val="5768FFDF"/>
    <w:rsid w:val="577387F2"/>
    <w:rsid w:val="577531BA"/>
    <w:rsid w:val="57A3043F"/>
    <w:rsid w:val="57AD725B"/>
    <w:rsid w:val="57B34015"/>
    <w:rsid w:val="57B95E0E"/>
    <w:rsid w:val="57B9DFB5"/>
    <w:rsid w:val="57BD889A"/>
    <w:rsid w:val="57BECE5B"/>
    <w:rsid w:val="57DDE536"/>
    <w:rsid w:val="57E42759"/>
    <w:rsid w:val="57F26EE1"/>
    <w:rsid w:val="57FDD387"/>
    <w:rsid w:val="5801B426"/>
    <w:rsid w:val="580303B4"/>
    <w:rsid w:val="58042F55"/>
    <w:rsid w:val="580982CE"/>
    <w:rsid w:val="580CD35A"/>
    <w:rsid w:val="5815E92F"/>
    <w:rsid w:val="582335A0"/>
    <w:rsid w:val="5839E5A0"/>
    <w:rsid w:val="583A6E71"/>
    <w:rsid w:val="583C31CF"/>
    <w:rsid w:val="5846F716"/>
    <w:rsid w:val="58623CB7"/>
    <w:rsid w:val="58678BF3"/>
    <w:rsid w:val="5867FB20"/>
    <w:rsid w:val="586E0781"/>
    <w:rsid w:val="5883D9B9"/>
    <w:rsid w:val="589AF7F1"/>
    <w:rsid w:val="58A4F07A"/>
    <w:rsid w:val="58CE0D73"/>
    <w:rsid w:val="58E98487"/>
    <w:rsid w:val="58F6ECB7"/>
    <w:rsid w:val="590212E9"/>
    <w:rsid w:val="5945FB52"/>
    <w:rsid w:val="59461609"/>
    <w:rsid w:val="594BFF5B"/>
    <w:rsid w:val="59779CE7"/>
    <w:rsid w:val="5986FF5C"/>
    <w:rsid w:val="598D87FE"/>
    <w:rsid w:val="5996D0F3"/>
    <w:rsid w:val="59BA215C"/>
    <w:rsid w:val="59BD26A1"/>
    <w:rsid w:val="59BD4447"/>
    <w:rsid w:val="59BD54A7"/>
    <w:rsid w:val="59C16C6F"/>
    <w:rsid w:val="59E3CECA"/>
    <w:rsid w:val="59FBD166"/>
    <w:rsid w:val="59FFB132"/>
    <w:rsid w:val="5A500B27"/>
    <w:rsid w:val="5A56E3FF"/>
    <w:rsid w:val="5A5A7C52"/>
    <w:rsid w:val="5A6174A6"/>
    <w:rsid w:val="5A7796D3"/>
    <w:rsid w:val="5A8AB41E"/>
    <w:rsid w:val="5AAE6805"/>
    <w:rsid w:val="5AAE8138"/>
    <w:rsid w:val="5AD1E14D"/>
    <w:rsid w:val="5AD80BAB"/>
    <w:rsid w:val="5ADCEE4F"/>
    <w:rsid w:val="5ADDC86E"/>
    <w:rsid w:val="5AF179A8"/>
    <w:rsid w:val="5B0B2518"/>
    <w:rsid w:val="5B1CEA6A"/>
    <w:rsid w:val="5B2BA860"/>
    <w:rsid w:val="5B4CC3D7"/>
    <w:rsid w:val="5B5C224C"/>
    <w:rsid w:val="5B5D1D28"/>
    <w:rsid w:val="5B603B2A"/>
    <w:rsid w:val="5B68DF73"/>
    <w:rsid w:val="5B7B77E0"/>
    <w:rsid w:val="5B8411BA"/>
    <w:rsid w:val="5B88A2BF"/>
    <w:rsid w:val="5B8D3D17"/>
    <w:rsid w:val="5B90042D"/>
    <w:rsid w:val="5B915236"/>
    <w:rsid w:val="5BB664B6"/>
    <w:rsid w:val="5BBEE7CC"/>
    <w:rsid w:val="5BCA75C1"/>
    <w:rsid w:val="5BEC8731"/>
    <w:rsid w:val="5BECDA3B"/>
    <w:rsid w:val="5C08C857"/>
    <w:rsid w:val="5C25030A"/>
    <w:rsid w:val="5C294D0D"/>
    <w:rsid w:val="5C363294"/>
    <w:rsid w:val="5C36FACC"/>
    <w:rsid w:val="5C4E3398"/>
    <w:rsid w:val="5C5A4B21"/>
    <w:rsid w:val="5C69FFDC"/>
    <w:rsid w:val="5C6D6D7D"/>
    <w:rsid w:val="5C7DB6D0"/>
    <w:rsid w:val="5CA7840D"/>
    <w:rsid w:val="5CBD5FAD"/>
    <w:rsid w:val="5CC1934F"/>
    <w:rsid w:val="5CC34B2A"/>
    <w:rsid w:val="5CD01953"/>
    <w:rsid w:val="5CD0BA8E"/>
    <w:rsid w:val="5CD19714"/>
    <w:rsid w:val="5CDF70F3"/>
    <w:rsid w:val="5CEC1484"/>
    <w:rsid w:val="5D224597"/>
    <w:rsid w:val="5D28E631"/>
    <w:rsid w:val="5D4440A3"/>
    <w:rsid w:val="5D45A3B5"/>
    <w:rsid w:val="5D52B6AB"/>
    <w:rsid w:val="5D649938"/>
    <w:rsid w:val="5D6C1972"/>
    <w:rsid w:val="5D6FB15B"/>
    <w:rsid w:val="5D78D245"/>
    <w:rsid w:val="5D91C5FE"/>
    <w:rsid w:val="5DA871B0"/>
    <w:rsid w:val="5DB3D2C7"/>
    <w:rsid w:val="5DB3DB31"/>
    <w:rsid w:val="5DC5EDA9"/>
    <w:rsid w:val="5DE92FD4"/>
    <w:rsid w:val="5DF2AF90"/>
    <w:rsid w:val="5E031561"/>
    <w:rsid w:val="5E04E226"/>
    <w:rsid w:val="5E06FD10"/>
    <w:rsid w:val="5E0CCA5D"/>
    <w:rsid w:val="5E2597C4"/>
    <w:rsid w:val="5E32B3DA"/>
    <w:rsid w:val="5E49E0B8"/>
    <w:rsid w:val="5E5FEFC9"/>
    <w:rsid w:val="5E6F3627"/>
    <w:rsid w:val="5E6F835D"/>
    <w:rsid w:val="5E945851"/>
    <w:rsid w:val="5E9D8E22"/>
    <w:rsid w:val="5EB9796F"/>
    <w:rsid w:val="5EBB0E20"/>
    <w:rsid w:val="5ECE4F61"/>
    <w:rsid w:val="5ED72F0E"/>
    <w:rsid w:val="5ED990F3"/>
    <w:rsid w:val="5F035329"/>
    <w:rsid w:val="5F086D16"/>
    <w:rsid w:val="5F0E9A3A"/>
    <w:rsid w:val="5F339892"/>
    <w:rsid w:val="5F4CE3D1"/>
    <w:rsid w:val="5F545C37"/>
    <w:rsid w:val="5F54C238"/>
    <w:rsid w:val="5F60224D"/>
    <w:rsid w:val="5F66FCC6"/>
    <w:rsid w:val="5F69C3B1"/>
    <w:rsid w:val="5F6AF256"/>
    <w:rsid w:val="5F72B7AE"/>
    <w:rsid w:val="5F81697E"/>
    <w:rsid w:val="5F973AF7"/>
    <w:rsid w:val="5FA3D5F5"/>
    <w:rsid w:val="5FAAC278"/>
    <w:rsid w:val="5FC63A31"/>
    <w:rsid w:val="5FD80ABD"/>
    <w:rsid w:val="5FE86127"/>
    <w:rsid w:val="5FF042D6"/>
    <w:rsid w:val="5FFDCF0C"/>
    <w:rsid w:val="600CD2E8"/>
    <w:rsid w:val="601B3E3A"/>
    <w:rsid w:val="60211480"/>
    <w:rsid w:val="6043A1D0"/>
    <w:rsid w:val="604E91F4"/>
    <w:rsid w:val="60578088"/>
    <w:rsid w:val="606AFCFC"/>
    <w:rsid w:val="60795EE8"/>
    <w:rsid w:val="608FAEC1"/>
    <w:rsid w:val="6094EEE2"/>
    <w:rsid w:val="60AFF2BB"/>
    <w:rsid w:val="60B675FC"/>
    <w:rsid w:val="60B6784D"/>
    <w:rsid w:val="60C69044"/>
    <w:rsid w:val="60CF1D06"/>
    <w:rsid w:val="60E0DDE1"/>
    <w:rsid w:val="60EC5F7A"/>
    <w:rsid w:val="61161A39"/>
    <w:rsid w:val="612BADAC"/>
    <w:rsid w:val="6154CFBE"/>
    <w:rsid w:val="615B2C62"/>
    <w:rsid w:val="616E9E24"/>
    <w:rsid w:val="61717B92"/>
    <w:rsid w:val="61739604"/>
    <w:rsid w:val="61B16B03"/>
    <w:rsid w:val="61C5ADF9"/>
    <w:rsid w:val="61D75AA1"/>
    <w:rsid w:val="61D8842F"/>
    <w:rsid w:val="61DF515E"/>
    <w:rsid w:val="61DFF955"/>
    <w:rsid w:val="61E2DC39"/>
    <w:rsid w:val="61FAB11E"/>
    <w:rsid w:val="62024F72"/>
    <w:rsid w:val="6206D239"/>
    <w:rsid w:val="62293015"/>
    <w:rsid w:val="622D1C7B"/>
    <w:rsid w:val="6247C013"/>
    <w:rsid w:val="625549B7"/>
    <w:rsid w:val="625DDC70"/>
    <w:rsid w:val="62630AB5"/>
    <w:rsid w:val="62994D4C"/>
    <w:rsid w:val="62A92358"/>
    <w:rsid w:val="62B006D5"/>
    <w:rsid w:val="62BECCB7"/>
    <w:rsid w:val="62C29527"/>
    <w:rsid w:val="62C92E0D"/>
    <w:rsid w:val="62D3DD90"/>
    <w:rsid w:val="62D6A577"/>
    <w:rsid w:val="62E83BF3"/>
    <w:rsid w:val="62EB142A"/>
    <w:rsid w:val="62F6BFB7"/>
    <w:rsid w:val="630730D6"/>
    <w:rsid w:val="63139555"/>
    <w:rsid w:val="631E9F66"/>
    <w:rsid w:val="632395EB"/>
    <w:rsid w:val="633072C2"/>
    <w:rsid w:val="63315841"/>
    <w:rsid w:val="633E400F"/>
    <w:rsid w:val="63433DDC"/>
    <w:rsid w:val="6348AAD9"/>
    <w:rsid w:val="6352F024"/>
    <w:rsid w:val="63696F8D"/>
    <w:rsid w:val="6371C873"/>
    <w:rsid w:val="63813798"/>
    <w:rsid w:val="63876FC0"/>
    <w:rsid w:val="63917614"/>
    <w:rsid w:val="6394FBFE"/>
    <w:rsid w:val="639A785A"/>
    <w:rsid w:val="639BA33A"/>
    <w:rsid w:val="63B7540A"/>
    <w:rsid w:val="63C4449B"/>
    <w:rsid w:val="63CB0D83"/>
    <w:rsid w:val="63CCCEF4"/>
    <w:rsid w:val="63E98748"/>
    <w:rsid w:val="63F69D7B"/>
    <w:rsid w:val="63FB4E15"/>
    <w:rsid w:val="64039730"/>
    <w:rsid w:val="6432C85F"/>
    <w:rsid w:val="645F8586"/>
    <w:rsid w:val="6470E24F"/>
    <w:rsid w:val="6471AE7D"/>
    <w:rsid w:val="64CDD1BC"/>
    <w:rsid w:val="64E24F1B"/>
    <w:rsid w:val="64E8BCE4"/>
    <w:rsid w:val="64EC47F7"/>
    <w:rsid w:val="64EECE1A"/>
    <w:rsid w:val="65062DAB"/>
    <w:rsid w:val="652792EE"/>
    <w:rsid w:val="6534FAD4"/>
    <w:rsid w:val="6538126E"/>
    <w:rsid w:val="6575EA02"/>
    <w:rsid w:val="657BCD09"/>
    <w:rsid w:val="659B23A1"/>
    <w:rsid w:val="65A41583"/>
    <w:rsid w:val="65BDC99F"/>
    <w:rsid w:val="65C6D6A9"/>
    <w:rsid w:val="65D645E8"/>
    <w:rsid w:val="65F8DA2F"/>
    <w:rsid w:val="66031EEC"/>
    <w:rsid w:val="660E07F4"/>
    <w:rsid w:val="661B0B60"/>
    <w:rsid w:val="662AF8D0"/>
    <w:rsid w:val="663EE19A"/>
    <w:rsid w:val="66514295"/>
    <w:rsid w:val="6654965C"/>
    <w:rsid w:val="66618031"/>
    <w:rsid w:val="666DF820"/>
    <w:rsid w:val="667BF50E"/>
    <w:rsid w:val="667E0209"/>
    <w:rsid w:val="667F22BE"/>
    <w:rsid w:val="668646E2"/>
    <w:rsid w:val="669F22CA"/>
    <w:rsid w:val="66A029FA"/>
    <w:rsid w:val="66B7A2E7"/>
    <w:rsid w:val="66B853C1"/>
    <w:rsid w:val="66C393CD"/>
    <w:rsid w:val="66C4E7AF"/>
    <w:rsid w:val="66EBD6B0"/>
    <w:rsid w:val="66FC5A73"/>
    <w:rsid w:val="67027FAB"/>
    <w:rsid w:val="6711F81F"/>
    <w:rsid w:val="6712488A"/>
    <w:rsid w:val="671FA429"/>
    <w:rsid w:val="672CF195"/>
    <w:rsid w:val="673771EB"/>
    <w:rsid w:val="673972E4"/>
    <w:rsid w:val="674B110A"/>
    <w:rsid w:val="67589A42"/>
    <w:rsid w:val="6761B60E"/>
    <w:rsid w:val="676E02B4"/>
    <w:rsid w:val="67863344"/>
    <w:rsid w:val="67931AE1"/>
    <w:rsid w:val="679EEBF4"/>
    <w:rsid w:val="67A728CC"/>
    <w:rsid w:val="67BD791A"/>
    <w:rsid w:val="67C1FA31"/>
    <w:rsid w:val="67C89A0B"/>
    <w:rsid w:val="67CFCF62"/>
    <w:rsid w:val="67DC6AAF"/>
    <w:rsid w:val="67E29712"/>
    <w:rsid w:val="67F1D38C"/>
    <w:rsid w:val="67F93DFF"/>
    <w:rsid w:val="6838AFAC"/>
    <w:rsid w:val="683E4EC3"/>
    <w:rsid w:val="68424A0D"/>
    <w:rsid w:val="684E9031"/>
    <w:rsid w:val="686AD2E6"/>
    <w:rsid w:val="6880E048"/>
    <w:rsid w:val="6881B47B"/>
    <w:rsid w:val="689447D3"/>
    <w:rsid w:val="6894FCEA"/>
    <w:rsid w:val="68ADA6DD"/>
    <w:rsid w:val="68AE36FB"/>
    <w:rsid w:val="68AE5593"/>
    <w:rsid w:val="68BF9BFF"/>
    <w:rsid w:val="68D41FDE"/>
    <w:rsid w:val="68D60A56"/>
    <w:rsid w:val="68E289AE"/>
    <w:rsid w:val="68F4D0C6"/>
    <w:rsid w:val="68FAADF7"/>
    <w:rsid w:val="68FB1C58"/>
    <w:rsid w:val="68FCF67D"/>
    <w:rsid w:val="692F1756"/>
    <w:rsid w:val="69397880"/>
    <w:rsid w:val="694428A1"/>
    <w:rsid w:val="69459C24"/>
    <w:rsid w:val="69666C04"/>
    <w:rsid w:val="696B2413"/>
    <w:rsid w:val="69745727"/>
    <w:rsid w:val="6976245C"/>
    <w:rsid w:val="697A689E"/>
    <w:rsid w:val="697EC7C4"/>
    <w:rsid w:val="699940BD"/>
    <w:rsid w:val="69B1A451"/>
    <w:rsid w:val="69B242C2"/>
    <w:rsid w:val="69B3EE4B"/>
    <w:rsid w:val="69B6F78E"/>
    <w:rsid w:val="69BCDEFD"/>
    <w:rsid w:val="69C2F3C5"/>
    <w:rsid w:val="69C32A6E"/>
    <w:rsid w:val="69CECB80"/>
    <w:rsid w:val="69CF715A"/>
    <w:rsid w:val="69D1B3E6"/>
    <w:rsid w:val="69DB7B03"/>
    <w:rsid w:val="69EBBF37"/>
    <w:rsid w:val="6A05360B"/>
    <w:rsid w:val="6A19B2A9"/>
    <w:rsid w:val="6A19EA52"/>
    <w:rsid w:val="6A1F77F1"/>
    <w:rsid w:val="6A2B0697"/>
    <w:rsid w:val="6A2BABC1"/>
    <w:rsid w:val="6A4DD191"/>
    <w:rsid w:val="6A5EB02E"/>
    <w:rsid w:val="6A619CCF"/>
    <w:rsid w:val="6A6D18D6"/>
    <w:rsid w:val="6A7740D2"/>
    <w:rsid w:val="6A85B855"/>
    <w:rsid w:val="6A96F407"/>
    <w:rsid w:val="6A9BA7B1"/>
    <w:rsid w:val="6AA298D2"/>
    <w:rsid w:val="6AA471B0"/>
    <w:rsid w:val="6AAD4E39"/>
    <w:rsid w:val="6AB127FD"/>
    <w:rsid w:val="6AB9EF1F"/>
    <w:rsid w:val="6AE5B133"/>
    <w:rsid w:val="6AFEFE5C"/>
    <w:rsid w:val="6B072339"/>
    <w:rsid w:val="6B1B4C74"/>
    <w:rsid w:val="6B36559F"/>
    <w:rsid w:val="6B397D8B"/>
    <w:rsid w:val="6B3D92AB"/>
    <w:rsid w:val="6B51F874"/>
    <w:rsid w:val="6BBD2ECC"/>
    <w:rsid w:val="6BCBCCC1"/>
    <w:rsid w:val="6BCE80F0"/>
    <w:rsid w:val="6BE585DB"/>
    <w:rsid w:val="6BE9005D"/>
    <w:rsid w:val="6BED511E"/>
    <w:rsid w:val="6C0DD4C7"/>
    <w:rsid w:val="6C1B2396"/>
    <w:rsid w:val="6C1F033B"/>
    <w:rsid w:val="6C20C331"/>
    <w:rsid w:val="6C252F04"/>
    <w:rsid w:val="6C2CE28C"/>
    <w:rsid w:val="6C4DBAD5"/>
    <w:rsid w:val="6C5074B9"/>
    <w:rsid w:val="6C658141"/>
    <w:rsid w:val="6C6AD1C7"/>
    <w:rsid w:val="6C6D72E7"/>
    <w:rsid w:val="6C6EAA4D"/>
    <w:rsid w:val="6C752262"/>
    <w:rsid w:val="6C8EFA17"/>
    <w:rsid w:val="6C984F64"/>
    <w:rsid w:val="6C99BC67"/>
    <w:rsid w:val="6CA7C4DC"/>
    <w:rsid w:val="6CC64CC1"/>
    <w:rsid w:val="6CEA1843"/>
    <w:rsid w:val="6CF532F9"/>
    <w:rsid w:val="6D08FAB2"/>
    <w:rsid w:val="6D0D7A08"/>
    <w:rsid w:val="6D11C974"/>
    <w:rsid w:val="6D12AC28"/>
    <w:rsid w:val="6D1786B1"/>
    <w:rsid w:val="6D1D6F63"/>
    <w:rsid w:val="6D1D8E23"/>
    <w:rsid w:val="6D1E07B8"/>
    <w:rsid w:val="6D29480D"/>
    <w:rsid w:val="6D2CA9C9"/>
    <w:rsid w:val="6D3EA42D"/>
    <w:rsid w:val="6D4387B4"/>
    <w:rsid w:val="6D446D40"/>
    <w:rsid w:val="6D534101"/>
    <w:rsid w:val="6D545C27"/>
    <w:rsid w:val="6D5F6366"/>
    <w:rsid w:val="6D645468"/>
    <w:rsid w:val="6D6A4A5A"/>
    <w:rsid w:val="6D80DE5F"/>
    <w:rsid w:val="6D8B8F18"/>
    <w:rsid w:val="6D9D24B0"/>
    <w:rsid w:val="6DA25203"/>
    <w:rsid w:val="6DA52437"/>
    <w:rsid w:val="6DAB2EA2"/>
    <w:rsid w:val="6DB6394D"/>
    <w:rsid w:val="6DD1CCEC"/>
    <w:rsid w:val="6DDB3EC6"/>
    <w:rsid w:val="6DDCE7D3"/>
    <w:rsid w:val="6DFD140D"/>
    <w:rsid w:val="6E0022A9"/>
    <w:rsid w:val="6E16262E"/>
    <w:rsid w:val="6E166D8E"/>
    <w:rsid w:val="6E1D63A0"/>
    <w:rsid w:val="6E40359F"/>
    <w:rsid w:val="6E410417"/>
    <w:rsid w:val="6E573E4A"/>
    <w:rsid w:val="6E6371A2"/>
    <w:rsid w:val="6E71B752"/>
    <w:rsid w:val="6E8EC53C"/>
    <w:rsid w:val="6E93B0E1"/>
    <w:rsid w:val="6E98AB9B"/>
    <w:rsid w:val="6E9D6510"/>
    <w:rsid w:val="6EB0FF77"/>
    <w:rsid w:val="6EB32406"/>
    <w:rsid w:val="6ED21DF1"/>
    <w:rsid w:val="6ED31BA1"/>
    <w:rsid w:val="6ED50E2B"/>
    <w:rsid w:val="6EE26834"/>
    <w:rsid w:val="6EF01093"/>
    <w:rsid w:val="6F0C8D1D"/>
    <w:rsid w:val="6F11FD96"/>
    <w:rsid w:val="6F1EDA97"/>
    <w:rsid w:val="6F291ABC"/>
    <w:rsid w:val="6F2A9BB2"/>
    <w:rsid w:val="6F30D334"/>
    <w:rsid w:val="6F391205"/>
    <w:rsid w:val="6F400D09"/>
    <w:rsid w:val="6F45A74C"/>
    <w:rsid w:val="6F4E9276"/>
    <w:rsid w:val="6F5BDDE5"/>
    <w:rsid w:val="6F5FD712"/>
    <w:rsid w:val="6F6CBC5C"/>
    <w:rsid w:val="6F794DFE"/>
    <w:rsid w:val="6FAA972D"/>
    <w:rsid w:val="6FF07AD1"/>
    <w:rsid w:val="6FF49BBB"/>
    <w:rsid w:val="700599C6"/>
    <w:rsid w:val="7006652B"/>
    <w:rsid w:val="700CCA0B"/>
    <w:rsid w:val="70134618"/>
    <w:rsid w:val="70162214"/>
    <w:rsid w:val="702E486A"/>
    <w:rsid w:val="70343B1C"/>
    <w:rsid w:val="703A9E62"/>
    <w:rsid w:val="7042A6DC"/>
    <w:rsid w:val="70516E7E"/>
    <w:rsid w:val="705C0FA3"/>
    <w:rsid w:val="7068EBF0"/>
    <w:rsid w:val="706E2054"/>
    <w:rsid w:val="706FA313"/>
    <w:rsid w:val="7082E121"/>
    <w:rsid w:val="709833CE"/>
    <w:rsid w:val="70A3BDAE"/>
    <w:rsid w:val="70ACC61F"/>
    <w:rsid w:val="70AD1A35"/>
    <w:rsid w:val="70B292BB"/>
    <w:rsid w:val="70CEF3B8"/>
    <w:rsid w:val="70EB1797"/>
    <w:rsid w:val="710422EC"/>
    <w:rsid w:val="7104AAF3"/>
    <w:rsid w:val="7105A634"/>
    <w:rsid w:val="71105535"/>
    <w:rsid w:val="711CB711"/>
    <w:rsid w:val="71307A48"/>
    <w:rsid w:val="71379618"/>
    <w:rsid w:val="714D1255"/>
    <w:rsid w:val="7152DC1D"/>
    <w:rsid w:val="716832BD"/>
    <w:rsid w:val="716F5272"/>
    <w:rsid w:val="7179BF0C"/>
    <w:rsid w:val="71803027"/>
    <w:rsid w:val="71817297"/>
    <w:rsid w:val="7182957A"/>
    <w:rsid w:val="718E8EE0"/>
    <w:rsid w:val="718EE22A"/>
    <w:rsid w:val="7192DDFB"/>
    <w:rsid w:val="71987325"/>
    <w:rsid w:val="71A241A4"/>
    <w:rsid w:val="71A87576"/>
    <w:rsid w:val="71B99DD5"/>
    <w:rsid w:val="71C2D6B0"/>
    <w:rsid w:val="71C6482B"/>
    <w:rsid w:val="71D52BD5"/>
    <w:rsid w:val="71D9FE29"/>
    <w:rsid w:val="71F798BE"/>
    <w:rsid w:val="72043A7C"/>
    <w:rsid w:val="720D2060"/>
    <w:rsid w:val="72123CA2"/>
    <w:rsid w:val="7224CCD7"/>
    <w:rsid w:val="72262D99"/>
    <w:rsid w:val="722B79A7"/>
    <w:rsid w:val="722C35D4"/>
    <w:rsid w:val="723146FC"/>
    <w:rsid w:val="7235894C"/>
    <w:rsid w:val="723BA6DD"/>
    <w:rsid w:val="7244879A"/>
    <w:rsid w:val="7248CAEA"/>
    <w:rsid w:val="7249D212"/>
    <w:rsid w:val="724BC75C"/>
    <w:rsid w:val="724E1D56"/>
    <w:rsid w:val="7255ECD6"/>
    <w:rsid w:val="726F090A"/>
    <w:rsid w:val="7285559B"/>
    <w:rsid w:val="72855C75"/>
    <w:rsid w:val="7289462E"/>
    <w:rsid w:val="7298279F"/>
    <w:rsid w:val="729B856C"/>
    <w:rsid w:val="72A77D03"/>
    <w:rsid w:val="72C7703C"/>
    <w:rsid w:val="72D49A10"/>
    <w:rsid w:val="72E2C17A"/>
    <w:rsid w:val="72ED0D28"/>
    <w:rsid w:val="72F6A23C"/>
    <w:rsid w:val="7301DE30"/>
    <w:rsid w:val="73084FB2"/>
    <w:rsid w:val="7314E47C"/>
    <w:rsid w:val="73151566"/>
    <w:rsid w:val="73277C03"/>
    <w:rsid w:val="733001AB"/>
    <w:rsid w:val="734BEA4A"/>
    <w:rsid w:val="7355438A"/>
    <w:rsid w:val="735ABC69"/>
    <w:rsid w:val="73672298"/>
    <w:rsid w:val="73AFBEB7"/>
    <w:rsid w:val="73B06568"/>
    <w:rsid w:val="73BFE490"/>
    <w:rsid w:val="73F5F1D2"/>
    <w:rsid w:val="73FF1EED"/>
    <w:rsid w:val="74147F9B"/>
    <w:rsid w:val="741F04F2"/>
    <w:rsid w:val="7429FFB1"/>
    <w:rsid w:val="744C574E"/>
    <w:rsid w:val="744DDA1E"/>
    <w:rsid w:val="744F310F"/>
    <w:rsid w:val="74573AB8"/>
    <w:rsid w:val="74574934"/>
    <w:rsid w:val="745ED053"/>
    <w:rsid w:val="7464868C"/>
    <w:rsid w:val="74672A43"/>
    <w:rsid w:val="748F4DBE"/>
    <w:rsid w:val="7495DB85"/>
    <w:rsid w:val="74ACA95B"/>
    <w:rsid w:val="74CE3404"/>
    <w:rsid w:val="74ED34E6"/>
    <w:rsid w:val="75054166"/>
    <w:rsid w:val="75073144"/>
    <w:rsid w:val="75282469"/>
    <w:rsid w:val="752F79CF"/>
    <w:rsid w:val="752FC1F0"/>
    <w:rsid w:val="7535300A"/>
    <w:rsid w:val="753CBE44"/>
    <w:rsid w:val="7544E23B"/>
    <w:rsid w:val="75606362"/>
    <w:rsid w:val="75631016"/>
    <w:rsid w:val="7580DE9E"/>
    <w:rsid w:val="758CFDB4"/>
    <w:rsid w:val="758F1F17"/>
    <w:rsid w:val="7593E36E"/>
    <w:rsid w:val="759F6703"/>
    <w:rsid w:val="75AE9C3E"/>
    <w:rsid w:val="75B9C6BC"/>
    <w:rsid w:val="75C241DB"/>
    <w:rsid w:val="75C2D7DA"/>
    <w:rsid w:val="75D1F21E"/>
    <w:rsid w:val="75D57A16"/>
    <w:rsid w:val="75D9D99C"/>
    <w:rsid w:val="7605E35A"/>
    <w:rsid w:val="7608BB3C"/>
    <w:rsid w:val="761CE1DF"/>
    <w:rsid w:val="76204FAF"/>
    <w:rsid w:val="7621F6CD"/>
    <w:rsid w:val="7625130D"/>
    <w:rsid w:val="76303776"/>
    <w:rsid w:val="763A3F5E"/>
    <w:rsid w:val="763C1D2A"/>
    <w:rsid w:val="7643A654"/>
    <w:rsid w:val="7646578C"/>
    <w:rsid w:val="7647F619"/>
    <w:rsid w:val="76493B52"/>
    <w:rsid w:val="765569BF"/>
    <w:rsid w:val="765778FE"/>
    <w:rsid w:val="768F1583"/>
    <w:rsid w:val="769429D4"/>
    <w:rsid w:val="76BDF5E0"/>
    <w:rsid w:val="76CF8470"/>
    <w:rsid w:val="76EAF7F7"/>
    <w:rsid w:val="76FC547E"/>
    <w:rsid w:val="771A0488"/>
    <w:rsid w:val="772FDB76"/>
    <w:rsid w:val="775079E0"/>
    <w:rsid w:val="775C291C"/>
    <w:rsid w:val="777CD1E2"/>
    <w:rsid w:val="777D2E80"/>
    <w:rsid w:val="777D662D"/>
    <w:rsid w:val="777D73BC"/>
    <w:rsid w:val="7798308D"/>
    <w:rsid w:val="779AD529"/>
    <w:rsid w:val="77C98A23"/>
    <w:rsid w:val="77D55DCC"/>
    <w:rsid w:val="77D90DF9"/>
    <w:rsid w:val="77E49A31"/>
    <w:rsid w:val="77EAD66A"/>
    <w:rsid w:val="77F463B4"/>
    <w:rsid w:val="77F5E7B8"/>
    <w:rsid w:val="78063166"/>
    <w:rsid w:val="782843E2"/>
    <w:rsid w:val="78374DC8"/>
    <w:rsid w:val="783B13E7"/>
    <w:rsid w:val="783FDC2D"/>
    <w:rsid w:val="78406CFD"/>
    <w:rsid w:val="784B8AEC"/>
    <w:rsid w:val="7861A509"/>
    <w:rsid w:val="7868E22D"/>
    <w:rsid w:val="787704A0"/>
    <w:rsid w:val="7880A27C"/>
    <w:rsid w:val="7885B953"/>
    <w:rsid w:val="788B27D6"/>
    <w:rsid w:val="789F8BC6"/>
    <w:rsid w:val="78BB8D77"/>
    <w:rsid w:val="78E90E9D"/>
    <w:rsid w:val="78EE32EF"/>
    <w:rsid w:val="78F1B73E"/>
    <w:rsid w:val="790F3CC3"/>
    <w:rsid w:val="79101B26"/>
    <w:rsid w:val="79122173"/>
    <w:rsid w:val="791249F2"/>
    <w:rsid w:val="79179055"/>
    <w:rsid w:val="791F19BE"/>
    <w:rsid w:val="7928094B"/>
    <w:rsid w:val="793F910E"/>
    <w:rsid w:val="794937C2"/>
    <w:rsid w:val="7958B5CD"/>
    <w:rsid w:val="796102CC"/>
    <w:rsid w:val="796C4E89"/>
    <w:rsid w:val="7981555F"/>
    <w:rsid w:val="798A009F"/>
    <w:rsid w:val="799C407F"/>
    <w:rsid w:val="799F4839"/>
    <w:rsid w:val="79A0E2FC"/>
    <w:rsid w:val="79A42B57"/>
    <w:rsid w:val="79B2B4FC"/>
    <w:rsid w:val="79D4CA49"/>
    <w:rsid w:val="79D63399"/>
    <w:rsid w:val="79E040C9"/>
    <w:rsid w:val="79FFB1A3"/>
    <w:rsid w:val="7A188EEA"/>
    <w:rsid w:val="7A19C44E"/>
    <w:rsid w:val="7A2FD201"/>
    <w:rsid w:val="7A34A4AB"/>
    <w:rsid w:val="7A3B5002"/>
    <w:rsid w:val="7A3D765F"/>
    <w:rsid w:val="7A3F233D"/>
    <w:rsid w:val="7A41B500"/>
    <w:rsid w:val="7A572701"/>
    <w:rsid w:val="7A64833F"/>
    <w:rsid w:val="7A64D36C"/>
    <w:rsid w:val="7A7D9B66"/>
    <w:rsid w:val="7A96391F"/>
    <w:rsid w:val="7A9E2DF8"/>
    <w:rsid w:val="7AA2152D"/>
    <w:rsid w:val="7AAC3417"/>
    <w:rsid w:val="7ABF8B32"/>
    <w:rsid w:val="7AD15E23"/>
    <w:rsid w:val="7AD7F7C6"/>
    <w:rsid w:val="7AF744DA"/>
    <w:rsid w:val="7AFB5232"/>
    <w:rsid w:val="7AFDEF05"/>
    <w:rsid w:val="7B03040E"/>
    <w:rsid w:val="7B40EC43"/>
    <w:rsid w:val="7B456046"/>
    <w:rsid w:val="7B469FBB"/>
    <w:rsid w:val="7B544415"/>
    <w:rsid w:val="7B67A1B3"/>
    <w:rsid w:val="7B6FFFC9"/>
    <w:rsid w:val="7B71D27D"/>
    <w:rsid w:val="7B7B53EE"/>
    <w:rsid w:val="7B86C02E"/>
    <w:rsid w:val="7BA52B80"/>
    <w:rsid w:val="7BB19E89"/>
    <w:rsid w:val="7BDFEC2C"/>
    <w:rsid w:val="7BE5063F"/>
    <w:rsid w:val="7BFAC07D"/>
    <w:rsid w:val="7C03D6C6"/>
    <w:rsid w:val="7C135325"/>
    <w:rsid w:val="7C2765D3"/>
    <w:rsid w:val="7C49550E"/>
    <w:rsid w:val="7C499FBF"/>
    <w:rsid w:val="7C5DCA07"/>
    <w:rsid w:val="7C5F2FF6"/>
    <w:rsid w:val="7C69545B"/>
    <w:rsid w:val="7C78D71F"/>
    <w:rsid w:val="7C806057"/>
    <w:rsid w:val="7C90AB75"/>
    <w:rsid w:val="7C993046"/>
    <w:rsid w:val="7CA14829"/>
    <w:rsid w:val="7CAEA082"/>
    <w:rsid w:val="7CC56E7F"/>
    <w:rsid w:val="7CC8F555"/>
    <w:rsid w:val="7CCFDF0F"/>
    <w:rsid w:val="7CD4BF29"/>
    <w:rsid w:val="7CD8DC12"/>
    <w:rsid w:val="7CDA8F65"/>
    <w:rsid w:val="7CDAAF0D"/>
    <w:rsid w:val="7CDDC3C6"/>
    <w:rsid w:val="7D01438D"/>
    <w:rsid w:val="7D37E406"/>
    <w:rsid w:val="7D44C3C4"/>
    <w:rsid w:val="7D4A74E8"/>
    <w:rsid w:val="7D4FD295"/>
    <w:rsid w:val="7D5146FF"/>
    <w:rsid w:val="7D54A7BC"/>
    <w:rsid w:val="7D7DFBBB"/>
    <w:rsid w:val="7D879E1D"/>
    <w:rsid w:val="7D8C81DD"/>
    <w:rsid w:val="7D94C1B2"/>
    <w:rsid w:val="7DA7F3B3"/>
    <w:rsid w:val="7DB1BC11"/>
    <w:rsid w:val="7DB7F9AC"/>
    <w:rsid w:val="7DF25DA6"/>
    <w:rsid w:val="7DF988C6"/>
    <w:rsid w:val="7DFDA1EF"/>
    <w:rsid w:val="7E1AA1E2"/>
    <w:rsid w:val="7E2B7D31"/>
    <w:rsid w:val="7E3CCC45"/>
    <w:rsid w:val="7E437392"/>
    <w:rsid w:val="7E442A9A"/>
    <w:rsid w:val="7E595940"/>
    <w:rsid w:val="7E5FBC9C"/>
    <w:rsid w:val="7E61487E"/>
    <w:rsid w:val="7E685101"/>
    <w:rsid w:val="7E85DD62"/>
    <w:rsid w:val="7E8BAD08"/>
    <w:rsid w:val="7E970E10"/>
    <w:rsid w:val="7E9B0B6D"/>
    <w:rsid w:val="7EBB7536"/>
    <w:rsid w:val="7EC07BD0"/>
    <w:rsid w:val="7EC569E6"/>
    <w:rsid w:val="7EF8594E"/>
    <w:rsid w:val="7EFCB2CE"/>
    <w:rsid w:val="7F00F4BB"/>
    <w:rsid w:val="7F18BEE1"/>
    <w:rsid w:val="7F38F7B4"/>
    <w:rsid w:val="7F3D7B94"/>
    <w:rsid w:val="7F3E2916"/>
    <w:rsid w:val="7F48288B"/>
    <w:rsid w:val="7F6681E0"/>
    <w:rsid w:val="7F89FF5B"/>
    <w:rsid w:val="7F9EFCD1"/>
    <w:rsid w:val="7FA4430E"/>
    <w:rsid w:val="7FB86219"/>
    <w:rsid w:val="7FCBABE8"/>
    <w:rsid w:val="7FE458A3"/>
    <w:rsid w:val="7FEA6C9A"/>
    <w:rsid w:val="7FF03CC8"/>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D7111F"/>
  <w15:docId w15:val="{1217CF33-7B70-4CD8-B6F5-311820F01B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sz w:val="22"/>
        <w:szCs w:val="22"/>
        <w:lang w:val="en-US" w:eastAsia="en-US" w:bidi="ar-SA"/>
      </w:rPr>
    </w:rPrDefault>
    <w:pPrDefault>
      <w:pPr>
        <w:widowControl w:val="0"/>
        <w:autoSpaceDE w:val="0"/>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rPr>
      <w:rFonts w:ascii="Arial MT" w:eastAsia="Arial MT" w:hAnsi="Arial MT" w:cs="Arial MT"/>
      <w:lang w:val="es-ES"/>
    </w:rPr>
  </w:style>
  <w:style w:type="paragraph" w:styleId="Ttulo1">
    <w:name w:val="heading 1"/>
    <w:basedOn w:val="Normal"/>
    <w:uiPriority w:val="9"/>
    <w:qFormat/>
    <w:rsid w:val="352AC87B"/>
    <w:pPr>
      <w:numPr>
        <w:numId w:val="34"/>
      </w:numPr>
      <w:outlineLvl w:val="0"/>
    </w:pPr>
    <w:rPr>
      <w:rFonts w:asciiTheme="minorHAnsi" w:eastAsia="Arial" w:hAnsiTheme="minorHAnsi" w:cs="Arial"/>
      <w:b/>
      <w:bCs/>
      <w:sz w:val="20"/>
      <w:szCs w:val="20"/>
    </w:rPr>
  </w:style>
  <w:style w:type="paragraph" w:styleId="Ttulo2">
    <w:name w:val="heading 2"/>
    <w:basedOn w:val="Normal"/>
    <w:uiPriority w:val="9"/>
    <w:unhideWhenUsed/>
    <w:qFormat/>
    <w:rsid w:val="009274C3"/>
    <w:pPr>
      <w:ind w:left="683" w:hanging="205"/>
      <w:outlineLvl w:val="1"/>
    </w:pPr>
    <w:rPr>
      <w:rFonts w:asciiTheme="minorHAnsi" w:eastAsia="Arial" w:hAnsiTheme="minorHAnsi" w:cs="Arial"/>
      <w:b/>
      <w:bCs/>
      <w:sz w:val="20"/>
      <w:szCs w:val="20"/>
    </w:rPr>
  </w:style>
  <w:style w:type="paragraph" w:styleId="Ttulo3">
    <w:name w:val="heading 3"/>
    <w:basedOn w:val="Normal"/>
    <w:uiPriority w:val="9"/>
    <w:unhideWhenUsed/>
    <w:qFormat/>
    <w:rsid w:val="001F2328"/>
    <w:pPr>
      <w:ind w:left="476" w:hanging="358"/>
      <w:outlineLvl w:val="2"/>
    </w:pPr>
    <w:rPr>
      <w:rFonts w:asciiTheme="minorHAnsi" w:eastAsia="Arial" w:hAnsiTheme="minorHAnsi" w:cs="Arial"/>
      <w:b/>
      <w:bCs/>
      <w:i/>
      <w:iCs/>
      <w:sz w:val="20"/>
      <w:szCs w:val="20"/>
    </w:rPr>
  </w:style>
  <w:style w:type="paragraph" w:styleId="Ttulo4">
    <w:name w:val="heading 4"/>
    <w:basedOn w:val="Normal"/>
    <w:uiPriority w:val="9"/>
    <w:unhideWhenUsed/>
    <w:qFormat/>
    <w:pPr>
      <w:ind w:left="477" w:hanging="359"/>
      <w:outlineLvl w:val="3"/>
    </w:pPr>
    <w:rPr>
      <w:rFonts w:ascii="Arial" w:eastAsia="Arial" w:hAnsi="Arial" w:cs="Arial"/>
      <w:b/>
      <w:bCs/>
      <w:i/>
      <w:i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rPr>
      <w:sz w:val="20"/>
      <w:szCs w:val="20"/>
    </w:rPr>
  </w:style>
  <w:style w:type="paragraph" w:styleId="Ttulo">
    <w:name w:val="Title"/>
    <w:basedOn w:val="Normal"/>
    <w:uiPriority w:val="10"/>
    <w:qFormat/>
    <w:rsid w:val="3757BC20"/>
    <w:pPr>
      <w:tabs>
        <w:tab w:val="left" w:pos="683"/>
      </w:tabs>
      <w:spacing w:before="37"/>
      <w:ind w:left="20" w:right="18" w:firstLine="1"/>
      <w:jc w:val="center"/>
    </w:pPr>
    <w:rPr>
      <w:rFonts w:ascii="Arial" w:eastAsia="Arial" w:hAnsi="Arial" w:cs="Arial"/>
      <w:b/>
      <w:bCs/>
    </w:rPr>
  </w:style>
  <w:style w:type="paragraph" w:styleId="Prrafodelista">
    <w:name w:val="List Paragraph"/>
    <w:aliases w:val="Ha,titulo 3,HOJA,Bolita,Párrafo de lista4,BOLADEF,Párrafo de lista3,Párrafo de lista21,BOLA,Nivel 1 OS,Normal_viñetas_ICONTEC,Colorful List Accent 1,Bullet List,FooterText,numbered,Foot,列出段落,Bullets,subtitulo 1,Llista Nivell1,Fluvial1,l"/>
    <w:basedOn w:val="Normal"/>
    <w:link w:val="PrrafodelistaCar"/>
    <w:uiPriority w:val="34"/>
    <w:qFormat/>
    <w:pPr>
      <w:ind w:left="478" w:hanging="360"/>
    </w:pPr>
  </w:style>
  <w:style w:type="paragraph" w:customStyle="1" w:styleId="TableParagraph">
    <w:name w:val="Table Paragraph"/>
    <w:basedOn w:val="Normal"/>
    <w:rPr>
      <w:rFonts w:ascii="Calibri" w:eastAsia="Calibri" w:hAnsi="Calibri" w:cs="Calibri"/>
    </w:rPr>
  </w:style>
  <w:style w:type="character" w:customStyle="1" w:styleId="EncabezadoCar">
    <w:name w:val="Encabezado Car"/>
    <w:basedOn w:val="Fuentedeprrafopredeter"/>
  </w:style>
  <w:style w:type="paragraph" w:styleId="Encabezado">
    <w:name w:val="header"/>
    <w:basedOn w:val="Normal"/>
    <w:pPr>
      <w:tabs>
        <w:tab w:val="center" w:pos="4680"/>
        <w:tab w:val="right" w:pos="9360"/>
      </w:tabs>
    </w:pPr>
  </w:style>
  <w:style w:type="character" w:customStyle="1" w:styleId="PiedepginaCar">
    <w:name w:val="Pie de página Car"/>
    <w:basedOn w:val="Fuentedeprrafopredeter"/>
  </w:style>
  <w:style w:type="paragraph" w:styleId="Piedepgina">
    <w:name w:val="footer"/>
    <w:basedOn w:val="Normal"/>
    <w:pPr>
      <w:tabs>
        <w:tab w:val="center" w:pos="4680"/>
        <w:tab w:val="right" w:pos="9360"/>
      </w:tabs>
    </w:pPr>
  </w:style>
  <w:style w:type="paragraph" w:customStyle="1" w:styleId="paragraph">
    <w:name w:val="paragraph"/>
    <w:basedOn w:val="Normal"/>
    <w:rPr>
      <w:rFonts w:ascii="Calibri" w:eastAsia="MS Mincho" w:hAnsi="Calibri" w:cs="Arial"/>
      <w:sz w:val="24"/>
      <w:szCs w:val="24"/>
      <w:lang w:eastAsia="es-CO"/>
    </w:rPr>
  </w:style>
  <w:style w:type="paragraph" w:styleId="Textocomentario">
    <w:name w:val="annotation text"/>
    <w:basedOn w:val="Normal"/>
    <w:rPr>
      <w:sz w:val="20"/>
      <w:szCs w:val="20"/>
    </w:rPr>
  </w:style>
  <w:style w:type="character" w:customStyle="1" w:styleId="TextocomentarioCar">
    <w:name w:val="Texto comentario Car"/>
    <w:basedOn w:val="Fuentedeprrafopredeter"/>
    <w:rPr>
      <w:rFonts w:ascii="Arial MT" w:eastAsia="Arial MT" w:hAnsi="Arial MT" w:cs="Arial MT"/>
      <w:sz w:val="20"/>
      <w:szCs w:val="20"/>
      <w:lang w:val="es-ES"/>
    </w:rPr>
  </w:style>
  <w:style w:type="character" w:styleId="Refdecomentario">
    <w:name w:val="annotation reference"/>
    <w:basedOn w:val="Fuentedeprrafopredeter"/>
    <w:rPr>
      <w:sz w:val="16"/>
      <w:szCs w:val="16"/>
    </w:rPr>
  </w:style>
  <w:style w:type="paragraph" w:styleId="Revisin">
    <w:name w:val="Revision"/>
    <w:pPr>
      <w:widowControl/>
      <w:suppressAutoHyphens/>
      <w:autoSpaceDE/>
    </w:pPr>
    <w:rPr>
      <w:rFonts w:ascii="Arial MT" w:eastAsia="Arial MT" w:hAnsi="Arial MT" w:cs="Arial MT"/>
      <w:lang w:val="es-ES"/>
    </w:rPr>
  </w:style>
  <w:style w:type="paragraph" w:styleId="Textodeglobo">
    <w:name w:val="Balloon Text"/>
    <w:basedOn w:val="Normal"/>
    <w:rPr>
      <w:rFonts w:ascii="Segoe UI" w:hAnsi="Segoe UI" w:cs="Segoe UI"/>
      <w:sz w:val="18"/>
      <w:szCs w:val="18"/>
    </w:rPr>
  </w:style>
  <w:style w:type="character" w:customStyle="1" w:styleId="TextodegloboCar">
    <w:name w:val="Texto de globo Car"/>
    <w:basedOn w:val="Fuentedeprrafopredeter"/>
    <w:rPr>
      <w:rFonts w:ascii="Segoe UI" w:eastAsia="Arial MT" w:hAnsi="Segoe UI" w:cs="Segoe UI"/>
      <w:sz w:val="18"/>
      <w:szCs w:val="18"/>
      <w:lang w:val="es-ES"/>
    </w:rPr>
  </w:style>
  <w:style w:type="paragraph" w:styleId="TtuloTDC">
    <w:name w:val="TOC Heading"/>
    <w:basedOn w:val="Ttulo1"/>
    <w:next w:val="Normal"/>
    <w:uiPriority w:val="1"/>
    <w:rsid w:val="352AC87B"/>
    <w:pPr>
      <w:keepNext/>
      <w:keepLines/>
      <w:widowControl/>
      <w:spacing w:before="240"/>
    </w:pPr>
    <w:rPr>
      <w:rFonts w:ascii="Cambria" w:eastAsia="MS Gothic" w:hAnsi="Cambria" w:cs="Times New Roman"/>
      <w:b w:val="0"/>
      <w:bCs w:val="0"/>
      <w:color w:val="365F91"/>
      <w:sz w:val="32"/>
      <w:szCs w:val="32"/>
      <w:lang w:val="es-CO" w:eastAsia="es-CO"/>
    </w:rPr>
  </w:style>
  <w:style w:type="paragraph" w:styleId="TDC1">
    <w:name w:val="toc 1"/>
    <w:basedOn w:val="Normal"/>
    <w:next w:val="Normal"/>
    <w:autoRedefine/>
    <w:uiPriority w:val="39"/>
    <w:pPr>
      <w:spacing w:after="100"/>
    </w:pPr>
  </w:style>
  <w:style w:type="paragraph" w:styleId="TDC3">
    <w:name w:val="toc 3"/>
    <w:basedOn w:val="Normal"/>
    <w:next w:val="Normal"/>
    <w:autoRedefine/>
    <w:uiPriority w:val="39"/>
    <w:rsid w:val="00057484"/>
    <w:pPr>
      <w:tabs>
        <w:tab w:val="right" w:leader="dot" w:pos="960"/>
        <w:tab w:val="right" w:leader="dot" w:pos="10160"/>
      </w:tabs>
      <w:spacing w:after="100"/>
      <w:jc w:val="both"/>
    </w:pPr>
    <w:rPr>
      <w:rFonts w:ascii="Calibri" w:hAnsi="Calibri" w:cs="Calibri"/>
      <w:sz w:val="20"/>
      <w:szCs w:val="20"/>
    </w:rPr>
  </w:style>
  <w:style w:type="paragraph" w:styleId="TDC2">
    <w:name w:val="toc 2"/>
    <w:basedOn w:val="Normal"/>
    <w:next w:val="Normal"/>
    <w:autoRedefine/>
    <w:uiPriority w:val="39"/>
    <w:pPr>
      <w:spacing w:after="100"/>
      <w:ind w:left="220"/>
    </w:pPr>
  </w:style>
  <w:style w:type="character" w:styleId="Hipervnculo">
    <w:name w:val="Hyperlink"/>
    <w:basedOn w:val="Fuentedeprrafopredeter"/>
    <w:uiPriority w:val="99"/>
    <w:rPr>
      <w:color w:val="0000FF"/>
      <w:u w:val="single"/>
    </w:rPr>
  </w:style>
  <w:style w:type="paragraph" w:styleId="Asuntodelcomentario">
    <w:name w:val="annotation subject"/>
    <w:basedOn w:val="Textocomentario"/>
    <w:next w:val="Textocomentario"/>
    <w:rPr>
      <w:b/>
      <w:bCs/>
    </w:rPr>
  </w:style>
  <w:style w:type="character" w:customStyle="1" w:styleId="AsuntodelcomentarioCar">
    <w:name w:val="Asunto del comentario Car"/>
    <w:basedOn w:val="TextocomentarioCar"/>
    <w:rPr>
      <w:rFonts w:ascii="Arial MT" w:eastAsia="Arial MT" w:hAnsi="Arial MT" w:cs="Arial MT"/>
      <w:b/>
      <w:bCs/>
      <w:sz w:val="20"/>
      <w:szCs w:val="20"/>
      <w:lang w:val="es-ES"/>
    </w:rPr>
  </w:style>
  <w:style w:type="character" w:styleId="Refdenotaalpie">
    <w:name w:val="footnote reference"/>
    <w:basedOn w:val="Fuentedeprrafopredeter"/>
    <w:rPr>
      <w:position w:val="0"/>
      <w:vertAlign w:val="superscript"/>
    </w:rPr>
  </w:style>
  <w:style w:type="character" w:customStyle="1" w:styleId="Mention1">
    <w:name w:val="Mention1"/>
    <w:basedOn w:val="Fuentedeprrafopredeter"/>
    <w:rPr>
      <w:color w:val="2B579A"/>
      <w:shd w:val="clear" w:color="auto" w:fill="E1DFDD"/>
    </w:rPr>
  </w:style>
  <w:style w:type="character" w:customStyle="1" w:styleId="TextonotapieCar">
    <w:name w:val="Texto nota pie Car"/>
    <w:basedOn w:val="Fuentedeprrafopredeter"/>
    <w:rPr>
      <w:sz w:val="20"/>
      <w:szCs w:val="20"/>
    </w:rPr>
  </w:style>
  <w:style w:type="paragraph" w:styleId="Textonotapie">
    <w:name w:val="footnote text"/>
    <w:basedOn w:val="Normal"/>
    <w:rPr>
      <w:rFonts w:ascii="Calibri" w:eastAsia="Calibri" w:hAnsi="Calibri" w:cs="Arial"/>
      <w:sz w:val="20"/>
      <w:szCs w:val="20"/>
      <w:lang w:val="en-US"/>
    </w:rPr>
  </w:style>
  <w:style w:type="character" w:customStyle="1" w:styleId="TextonotapieCar1">
    <w:name w:val="Texto nota pie Car1"/>
    <w:basedOn w:val="Fuentedeprrafopredeter"/>
    <w:rPr>
      <w:rFonts w:ascii="Arial MT" w:eastAsia="Arial MT" w:hAnsi="Arial MT" w:cs="Arial MT"/>
      <w:sz w:val="20"/>
      <w:szCs w:val="20"/>
      <w:lang w:val="es-ES"/>
    </w:rPr>
  </w:style>
  <w:style w:type="character" w:customStyle="1" w:styleId="Mencinsinresolver1">
    <w:name w:val="Mención sin resolver1"/>
    <w:basedOn w:val="Fuentedeprrafopredeter"/>
    <w:rPr>
      <w:color w:val="605E5C"/>
      <w:shd w:val="clear" w:color="auto" w:fill="E1DFDD"/>
    </w:rPr>
  </w:style>
  <w:style w:type="character" w:styleId="Hipervnculovisitado">
    <w:name w:val="FollowedHyperlink"/>
    <w:basedOn w:val="Fuentedeprrafopredeter"/>
    <w:rPr>
      <w:color w:val="954F72"/>
      <w:u w:val="single"/>
    </w:rPr>
  </w:style>
  <w:style w:type="character" w:customStyle="1" w:styleId="PrrafodelistaCar">
    <w:name w:val="Párrafo de lista Car"/>
    <w:aliases w:val="Ha Car,titulo 3 Car,HOJA Car,Bolita Car,Párrafo de lista4 Car,BOLADEF Car,Párrafo de lista3 Car,Párrafo de lista21 Car,BOLA Car,Nivel 1 OS Car,Normal_viñetas_ICONTEC Car,Colorful List Accent 1 Car,Bullet List Car,FooterText Car"/>
    <w:link w:val="Prrafodelista"/>
    <w:uiPriority w:val="34"/>
    <w:qFormat/>
    <w:rsid w:val="00ED230D"/>
    <w:rPr>
      <w:rFonts w:ascii="Arial MT" w:eastAsia="Arial MT" w:hAnsi="Arial MT" w:cs="Arial MT"/>
      <w:lang w:val="es-ES"/>
    </w:rPr>
  </w:style>
  <w:style w:type="paragraph" w:styleId="Descripcin">
    <w:name w:val="caption"/>
    <w:basedOn w:val="Normal"/>
    <w:next w:val="Normal"/>
    <w:uiPriority w:val="35"/>
    <w:unhideWhenUsed/>
    <w:qFormat/>
    <w:rsid w:val="000F64D0"/>
    <w:pPr>
      <w:spacing w:after="200"/>
    </w:pPr>
    <w:rPr>
      <w:rFonts w:asciiTheme="minorHAnsi" w:hAnsiTheme="minorHAnsi"/>
      <w:i/>
      <w:iCs/>
      <w:sz w:val="18"/>
      <w:szCs w:val="18"/>
    </w:rPr>
  </w:style>
  <w:style w:type="paragraph" w:styleId="Sinespaciado">
    <w:name w:val="No Spacing"/>
    <w:link w:val="SinespaciadoCar"/>
    <w:uiPriority w:val="1"/>
    <w:qFormat/>
    <w:rsid w:val="002662C1"/>
    <w:pPr>
      <w:widowControl/>
      <w:autoSpaceDE/>
      <w:autoSpaceDN/>
      <w:textAlignment w:val="auto"/>
    </w:pPr>
    <w:rPr>
      <w:rFonts w:ascii="Times New Roman" w:eastAsia="Times New Roman" w:hAnsi="Times New Roman" w:cs="Times New Roman"/>
      <w:sz w:val="24"/>
      <w:szCs w:val="24"/>
      <w:lang w:val="es-CO" w:eastAsia="es-ES_tradnl"/>
    </w:rPr>
  </w:style>
  <w:style w:type="character" w:customStyle="1" w:styleId="SinespaciadoCar">
    <w:name w:val="Sin espaciado Car"/>
    <w:link w:val="Sinespaciado"/>
    <w:uiPriority w:val="1"/>
    <w:locked/>
    <w:rsid w:val="002662C1"/>
    <w:rPr>
      <w:rFonts w:ascii="Times New Roman" w:eastAsia="Times New Roman" w:hAnsi="Times New Roman" w:cs="Times New Roman"/>
      <w:sz w:val="24"/>
      <w:szCs w:val="24"/>
      <w:lang w:val="es-CO" w:eastAsia="es-ES_tradnl"/>
    </w:rPr>
  </w:style>
  <w:style w:type="character" w:customStyle="1" w:styleId="Mention2">
    <w:name w:val="Mention2"/>
    <w:basedOn w:val="Fuentedeprrafopredeter"/>
    <w:uiPriority w:val="99"/>
    <w:unhideWhenUsed/>
    <w:rsid w:val="00501CDF"/>
    <w:rPr>
      <w:color w:val="2B579A"/>
      <w:shd w:val="clear" w:color="auto" w:fill="E1DFDD"/>
    </w:rPr>
  </w:style>
  <w:style w:type="paragraph" w:styleId="TDC4">
    <w:name w:val="toc 4"/>
    <w:basedOn w:val="Normal"/>
    <w:next w:val="Normal"/>
    <w:uiPriority w:val="39"/>
    <w:unhideWhenUsed/>
    <w:rsid w:val="3757BC20"/>
    <w:pPr>
      <w:spacing w:after="100"/>
      <w:ind w:left="660"/>
    </w:pPr>
  </w:style>
  <w:style w:type="paragraph" w:customStyle="1" w:styleId="FigsSGM">
    <w:name w:val="Figs SGM"/>
    <w:basedOn w:val="Normal"/>
    <w:link w:val="FigsSGMCar"/>
    <w:uiPriority w:val="1"/>
    <w:qFormat/>
    <w:rsid w:val="6A619CCF"/>
    <w:pPr>
      <w:jc w:val="center"/>
    </w:pPr>
    <w:rPr>
      <w:rFonts w:asciiTheme="majorHAnsi" w:eastAsiaTheme="minorEastAsia" w:hAnsiTheme="majorHAnsi" w:cstheme="minorBidi"/>
      <w:i/>
      <w:iCs/>
      <w:sz w:val="18"/>
      <w:szCs w:val="18"/>
    </w:rPr>
  </w:style>
  <w:style w:type="character" w:customStyle="1" w:styleId="FigsSGMCar">
    <w:name w:val="Figs SGM Car"/>
    <w:basedOn w:val="Fuentedeprrafopredeter"/>
    <w:link w:val="FigsSGM"/>
    <w:uiPriority w:val="1"/>
    <w:rsid w:val="6A619CCF"/>
    <w:rPr>
      <w:rFonts w:asciiTheme="majorHAnsi" w:eastAsiaTheme="minorEastAsia" w:hAnsiTheme="majorHAnsi" w:cstheme="minorBidi"/>
      <w:i/>
      <w:iCs/>
      <w:color w:val="44546A" w:themeColor="text2"/>
      <w:sz w:val="18"/>
      <w:szCs w:val="18"/>
    </w:rPr>
  </w:style>
  <w:style w:type="table" w:styleId="Tablaconcuadrcula">
    <w:name w:val="Table Grid"/>
    <w:basedOn w:val="Tabla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Mencionar">
    <w:name w:val="Mention"/>
    <w:basedOn w:val="Fuentedeprrafopredeter"/>
    <w:uiPriority w:val="99"/>
    <w:unhideWhenUsed/>
    <w:rsid w:val="00983623"/>
    <w:rPr>
      <w:color w:val="2B579A"/>
      <w:shd w:val="clear" w:color="auto" w:fill="E1DFDD"/>
    </w:rPr>
  </w:style>
  <w:style w:type="character" w:customStyle="1" w:styleId="normaltextrun">
    <w:name w:val="normaltextrun"/>
    <w:basedOn w:val="Fuentedeprrafopredeter"/>
    <w:rsid w:val="003F16EB"/>
  </w:style>
  <w:style w:type="character" w:customStyle="1" w:styleId="apple-converted-space">
    <w:name w:val="apple-converted-space"/>
    <w:basedOn w:val="Fuentedeprrafopredeter"/>
    <w:rsid w:val="003F16EB"/>
  </w:style>
  <w:style w:type="character" w:customStyle="1" w:styleId="eop">
    <w:name w:val="eop"/>
    <w:basedOn w:val="Fuentedeprrafopredeter"/>
    <w:rsid w:val="003F16EB"/>
  </w:style>
  <w:style w:type="character" w:styleId="Mencinsinresolver">
    <w:name w:val="Unresolved Mention"/>
    <w:basedOn w:val="Fuentedeprrafopredeter"/>
    <w:uiPriority w:val="99"/>
    <w:semiHidden/>
    <w:unhideWhenUsed/>
    <w:rsid w:val="003143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0073843">
      <w:bodyDiv w:val="1"/>
      <w:marLeft w:val="0"/>
      <w:marRight w:val="0"/>
      <w:marTop w:val="0"/>
      <w:marBottom w:val="0"/>
      <w:divBdr>
        <w:top w:val="none" w:sz="0" w:space="0" w:color="auto"/>
        <w:left w:val="none" w:sz="0" w:space="0" w:color="auto"/>
        <w:bottom w:val="none" w:sz="0" w:space="0" w:color="auto"/>
        <w:right w:val="none" w:sz="0" w:space="0" w:color="auto"/>
      </w:divBdr>
      <w:divsChild>
        <w:div w:id="830831756">
          <w:marLeft w:val="0"/>
          <w:marRight w:val="0"/>
          <w:marTop w:val="0"/>
          <w:marBottom w:val="0"/>
          <w:divBdr>
            <w:top w:val="none" w:sz="0" w:space="0" w:color="auto"/>
            <w:left w:val="none" w:sz="0" w:space="0" w:color="auto"/>
            <w:bottom w:val="none" w:sz="0" w:space="0" w:color="auto"/>
            <w:right w:val="none" w:sz="0" w:space="0" w:color="auto"/>
          </w:divBdr>
        </w:div>
        <w:div w:id="901332785">
          <w:marLeft w:val="0"/>
          <w:marRight w:val="0"/>
          <w:marTop w:val="0"/>
          <w:marBottom w:val="0"/>
          <w:divBdr>
            <w:top w:val="none" w:sz="0" w:space="0" w:color="auto"/>
            <w:left w:val="none" w:sz="0" w:space="0" w:color="auto"/>
            <w:bottom w:val="none" w:sz="0" w:space="0" w:color="auto"/>
            <w:right w:val="none" w:sz="0" w:space="0" w:color="auto"/>
          </w:divBdr>
        </w:div>
        <w:div w:id="1667440489">
          <w:marLeft w:val="0"/>
          <w:marRight w:val="0"/>
          <w:marTop w:val="0"/>
          <w:marBottom w:val="0"/>
          <w:divBdr>
            <w:top w:val="none" w:sz="0" w:space="0" w:color="auto"/>
            <w:left w:val="none" w:sz="0" w:space="0" w:color="auto"/>
            <w:bottom w:val="none" w:sz="0" w:space="0" w:color="auto"/>
            <w:right w:val="none" w:sz="0" w:space="0" w:color="auto"/>
          </w:divBdr>
        </w:div>
      </w:divsChild>
    </w:div>
    <w:div w:id="573396086">
      <w:bodyDiv w:val="1"/>
      <w:marLeft w:val="0"/>
      <w:marRight w:val="0"/>
      <w:marTop w:val="0"/>
      <w:marBottom w:val="0"/>
      <w:divBdr>
        <w:top w:val="none" w:sz="0" w:space="0" w:color="auto"/>
        <w:left w:val="none" w:sz="0" w:space="0" w:color="auto"/>
        <w:bottom w:val="none" w:sz="0" w:space="0" w:color="auto"/>
        <w:right w:val="none" w:sz="0" w:space="0" w:color="auto"/>
      </w:divBdr>
      <w:divsChild>
        <w:div w:id="1398168516">
          <w:marLeft w:val="0"/>
          <w:marRight w:val="0"/>
          <w:marTop w:val="0"/>
          <w:marBottom w:val="0"/>
          <w:divBdr>
            <w:top w:val="none" w:sz="0" w:space="0" w:color="auto"/>
            <w:left w:val="none" w:sz="0" w:space="0" w:color="auto"/>
            <w:bottom w:val="none" w:sz="0" w:space="0" w:color="auto"/>
            <w:right w:val="none" w:sz="0" w:space="0" w:color="auto"/>
          </w:divBdr>
        </w:div>
        <w:div w:id="1823615261">
          <w:marLeft w:val="0"/>
          <w:marRight w:val="0"/>
          <w:marTop w:val="0"/>
          <w:marBottom w:val="0"/>
          <w:divBdr>
            <w:top w:val="none" w:sz="0" w:space="0" w:color="auto"/>
            <w:left w:val="none" w:sz="0" w:space="0" w:color="auto"/>
            <w:bottom w:val="none" w:sz="0" w:space="0" w:color="auto"/>
            <w:right w:val="none" w:sz="0" w:space="0" w:color="auto"/>
          </w:divBdr>
        </w:div>
        <w:div w:id="1846049850">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microsoft.com/office/2020/10/relationships/intelligence" Target="intelligence2.xml"/><Relationship Id="rId16" Type="http://schemas.openxmlformats.org/officeDocument/2006/relationships/image" Target="media/image5.png"/><Relationship Id="rId107" Type="http://schemas.openxmlformats.org/officeDocument/2006/relationships/image" Target="media/image96.png"/><Relationship Id="rId11" Type="http://schemas.openxmlformats.org/officeDocument/2006/relationships/header" Target="header1.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png"/><Relationship Id="rId5" Type="http://schemas.openxmlformats.org/officeDocument/2006/relationships/numbering" Target="numbering.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footer" Target="footer1.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header" Target="header2.xm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footer" Target="footer2.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fontTable" Target="fontTable.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20" Type="http://schemas.openxmlformats.org/officeDocument/2006/relationships/image" Target="media/image9.png"/><Relationship Id="rId41" Type="http://schemas.openxmlformats.org/officeDocument/2006/relationships/image" Target="media/image30.jp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theme" Target="theme/theme1.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s>
</file>

<file path=word/_rels/footer1.xml.rels><?xml version="1.0" encoding="UTF-8" standalone="yes"?>
<Relationships xmlns="http://schemas.openxmlformats.org/package/2006/relationships"><Relationship Id="rId1" Type="http://schemas.openxmlformats.org/officeDocument/2006/relationships/hyperlink" Target="http://www.fenoge.gov.co"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fenoge.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97D2650C6774454C8C62417CB829A15D" ma:contentTypeVersion="12" ma:contentTypeDescription="Crear nuevo documento." ma:contentTypeScope="" ma:versionID="a44b5325c7fe8dfeafdd608ffec66749">
  <xsd:schema xmlns:xsd="http://www.w3.org/2001/XMLSchema" xmlns:xs="http://www.w3.org/2001/XMLSchema" xmlns:p="http://schemas.microsoft.com/office/2006/metadata/properties" xmlns:ns2="b04aea1d-15a3-46e0-bd67-63296df7c8d7" xmlns:ns3="08375845-2e5b-48c3-b296-5625308c3fab" targetNamespace="http://schemas.microsoft.com/office/2006/metadata/properties" ma:root="true" ma:fieldsID="dc8e9047344053027bd563e8bb130108" ns2:_="" ns3:_="">
    <xsd:import namespace="b04aea1d-15a3-46e0-bd67-63296df7c8d7"/>
    <xsd:import namespace="08375845-2e5b-48c3-b296-5625308c3fa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aaaaaaa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4aea1d-15a3-46e0-bd67-63296df7c8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Etiquetas de imagen" ma:readOnly="false" ma:fieldId="{5cf76f15-5ced-4ddc-b409-7134ff3c332f}" ma:taxonomyMulti="true" ma:sspId="a4feee06-36c4-4f57-8b48-abef818b0961"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aaaaaaaa" ma:index="19" nillable="true" ma:displayName="aaaaaaaa" ma:internalName="aaaaaaaa">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8375845-2e5b-48c3-b296-5625308c3fa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eabe5afc-4726-490a-bfda-e45dedfafda2}" ma:internalName="TaxCatchAll" ma:showField="CatchAllData" ma:web="08375845-2e5b-48c3-b296-5625308c3fa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04aea1d-15a3-46e0-bd67-63296df7c8d7">
      <Terms xmlns="http://schemas.microsoft.com/office/infopath/2007/PartnerControls"/>
    </lcf76f155ced4ddcb4097134ff3c332f>
    <TaxCatchAll xmlns="08375845-2e5b-48c3-b296-5625308c3fab" xsi:nil="true"/>
    <aaaaaaaa xmlns="b04aea1d-15a3-46e0-bd67-63296df7c8d7"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772036B-EEED-443C-AFDA-F15ADB21557A}">
  <ds:schemaRefs>
    <ds:schemaRef ds:uri="http://schemas.openxmlformats.org/officeDocument/2006/bibliography"/>
  </ds:schemaRefs>
</ds:datastoreItem>
</file>

<file path=customXml/itemProps2.xml><?xml version="1.0" encoding="utf-8"?>
<ds:datastoreItem xmlns:ds="http://schemas.openxmlformats.org/officeDocument/2006/customXml" ds:itemID="{213EB671-A61B-4C9E-951D-A893803913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4aea1d-15a3-46e0-bd67-63296df7c8d7"/>
    <ds:schemaRef ds:uri="08375845-2e5b-48c3-b296-5625308c3fa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964B399-6BC9-4168-8045-CE49218C90C4}">
  <ds:schemaRefs>
    <ds:schemaRef ds:uri="http://schemas.microsoft.com/office/2006/metadata/properties"/>
    <ds:schemaRef ds:uri="http://schemas.microsoft.com/office/infopath/2007/PartnerControls"/>
    <ds:schemaRef ds:uri="b04aea1d-15a3-46e0-bd67-63296df7c8d7"/>
    <ds:schemaRef ds:uri="08375845-2e5b-48c3-b296-5625308c3fab"/>
  </ds:schemaRefs>
</ds:datastoreItem>
</file>

<file path=customXml/itemProps4.xml><?xml version="1.0" encoding="utf-8"?>
<ds:datastoreItem xmlns:ds="http://schemas.openxmlformats.org/officeDocument/2006/customXml" ds:itemID="{C7696DD4-DB94-44CA-8E6D-BEF53D4049C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22290</Words>
  <Characters>122596</Characters>
  <Application>Microsoft Office Word</Application>
  <DocSecurity>0</DocSecurity>
  <Lines>1021</Lines>
  <Paragraphs>289</Paragraphs>
  <ScaleCrop>false</ScaleCrop>
  <Company/>
  <LinksUpToDate>false</LinksUpToDate>
  <CharactersWithSpaces>144597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Especificaciones alcance de obra Dique Tanque k1807</dc:title>
  <dc:subject>Contrato Marco, ECOPETROL S.A.</dc:subject>
  <dc:creator>jconvers</dc:creator>
  <cp:keywords/>
  <cp:lastModifiedBy>martha lucia osorio rosas</cp:lastModifiedBy>
  <cp:revision>2</cp:revision>
  <cp:lastPrinted>2025-12-04T11:01:00Z</cp:lastPrinted>
  <dcterms:created xsi:type="dcterms:W3CDTF">2026-05-25T18:59:00Z</dcterms:created>
  <dcterms:modified xsi:type="dcterms:W3CDTF">2026-05-25T18:59:00Z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2024-10-10T00:00:00Z</vt:filetime>
  </property>
  <property fmtid="{D5CDD505-2E9C-101B-9397-08002B2CF9AE}" pid="3" name="Creator">
    <vt:lpwstr>Microsoft® Word 2019</vt:lpwstr>
  </property>
  <property fmtid="{D5CDD505-2E9C-101B-9397-08002B2CF9AE}" pid="4" name="LastSaved">
    <vt:filetime>2024-11-22T00:00:00Z</vt:filetime>
  </property>
  <property fmtid="{D5CDD505-2E9C-101B-9397-08002B2CF9AE}" pid="5" name="Producer">
    <vt:lpwstr>Microsoft® Word 2019</vt:lpwstr>
  </property>
  <property fmtid="{D5CDD505-2E9C-101B-9397-08002B2CF9AE}" pid="6" name="ContentTypeId">
    <vt:lpwstr>0x01010097D2650C6774454C8C62417CB829A15D</vt:lpwstr>
  </property>
  <property fmtid="{D5CDD505-2E9C-101B-9397-08002B2CF9AE}" pid="7" name="MediaServiceImageTags">
    <vt:lpwstr/>
  </property>
</Properties>
</file>