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7AF49" w14:textId="77777777" w:rsidR="003A3A93" w:rsidRPr="003A3A93" w:rsidRDefault="003A3A93" w:rsidP="003A3A93">
      <w:pPr>
        <w:jc w:val="center"/>
        <w:rPr>
          <w:rFonts w:ascii="Arial Narrow" w:hAnsi="Arial Narrow"/>
          <w:b/>
          <w:sz w:val="20"/>
          <w:szCs w:val="20"/>
        </w:rPr>
      </w:pPr>
      <w:r w:rsidRPr="003A3A93">
        <w:rPr>
          <w:rFonts w:ascii="Arial Narrow" w:hAnsi="Arial Narrow"/>
          <w:b/>
          <w:sz w:val="20"/>
          <w:szCs w:val="20"/>
        </w:rPr>
        <w:t xml:space="preserve">PROGRAMA DE EFICIENCIA ENERGÉTICA CARIBE ENERGÍA SOSTENIBLE – PEECES </w:t>
      </w:r>
    </w:p>
    <w:p w14:paraId="015C4DDA" w14:textId="77777777" w:rsidR="003A3A93" w:rsidRPr="003A3A93" w:rsidRDefault="003A3A93" w:rsidP="003A3A93">
      <w:pPr>
        <w:jc w:val="center"/>
        <w:rPr>
          <w:rFonts w:ascii="Arial Narrow" w:hAnsi="Arial Narrow"/>
          <w:b/>
          <w:sz w:val="20"/>
          <w:szCs w:val="20"/>
        </w:rPr>
      </w:pPr>
      <w:r w:rsidRPr="003A3A93">
        <w:rPr>
          <w:rFonts w:ascii="Arial Narrow" w:hAnsi="Arial Narrow"/>
          <w:b/>
          <w:sz w:val="20"/>
          <w:szCs w:val="20"/>
        </w:rPr>
        <w:t>CONTRATO DE PRÉSTAMO BID 5738/OC-CO</w:t>
      </w:r>
    </w:p>
    <w:p w14:paraId="60FB26BE" w14:textId="226450F7" w:rsidR="003A3A93" w:rsidRDefault="005B464C" w:rsidP="00C94517">
      <w:pPr>
        <w:jc w:val="center"/>
        <w:rPr>
          <w:rFonts w:ascii="Arial Narrow" w:hAnsi="Arial Narrow" w:cs="Arial"/>
          <w:b/>
          <w:sz w:val="20"/>
          <w:szCs w:val="20"/>
        </w:rPr>
      </w:pPr>
      <w:r>
        <w:rPr>
          <w:rFonts w:ascii="Arial Narrow" w:hAnsi="Arial Narrow"/>
          <w:b/>
          <w:sz w:val="20"/>
          <w:szCs w:val="20"/>
        </w:rPr>
        <w:t>Operación logística Plan de Capacitaciones</w:t>
      </w:r>
    </w:p>
    <w:p w14:paraId="1E0A1FE4" w14:textId="20516933" w:rsidR="00C94517" w:rsidRDefault="00C94517" w:rsidP="00C94517">
      <w:pPr>
        <w:jc w:val="center"/>
        <w:rPr>
          <w:rFonts w:ascii="Arial Narrow" w:hAnsi="Arial Narrow" w:cs="Arial"/>
          <w:b/>
          <w:sz w:val="20"/>
          <w:szCs w:val="20"/>
        </w:rPr>
      </w:pPr>
      <w:r w:rsidRPr="009744B9">
        <w:rPr>
          <w:rFonts w:ascii="Arial Narrow" w:hAnsi="Arial Narrow" w:cs="Arial"/>
          <w:b/>
          <w:sz w:val="20"/>
          <w:szCs w:val="20"/>
        </w:rPr>
        <w:t xml:space="preserve">ANEXO </w:t>
      </w:r>
      <w:r w:rsidR="005B464C">
        <w:rPr>
          <w:rFonts w:ascii="Arial Narrow" w:hAnsi="Arial Narrow" w:cs="Arial"/>
          <w:b/>
          <w:sz w:val="20"/>
          <w:szCs w:val="20"/>
        </w:rPr>
        <w:t>7</w:t>
      </w:r>
      <w:r w:rsidRPr="009744B9">
        <w:rPr>
          <w:rFonts w:ascii="Arial Narrow" w:hAnsi="Arial Narrow" w:cs="Arial"/>
          <w:b/>
          <w:sz w:val="20"/>
          <w:szCs w:val="20"/>
        </w:rPr>
        <w:t xml:space="preserve"> – CONTRATO No. </w:t>
      </w:r>
      <w:r>
        <w:rPr>
          <w:rFonts w:ascii="Arial Narrow" w:hAnsi="Arial Narrow" w:cs="Arial"/>
          <w:b/>
          <w:sz w:val="20"/>
          <w:szCs w:val="20"/>
        </w:rPr>
        <w:t>116231</w:t>
      </w:r>
      <w:r w:rsidRPr="009744B9">
        <w:rPr>
          <w:rFonts w:ascii="Arial Narrow" w:hAnsi="Arial Narrow" w:cs="Arial"/>
          <w:b/>
          <w:sz w:val="20"/>
          <w:szCs w:val="20"/>
        </w:rPr>
        <w:t>-</w:t>
      </w:r>
      <w:r w:rsidRPr="009744B9">
        <w:rPr>
          <w:rFonts w:ascii="Arial Narrow" w:hAnsi="Arial Narrow" w:cs="Arial"/>
          <w:b/>
          <w:sz w:val="20"/>
          <w:szCs w:val="20"/>
          <w:highlight w:val="yellow"/>
        </w:rPr>
        <w:t>XXX</w:t>
      </w:r>
      <w:r w:rsidRPr="009744B9">
        <w:rPr>
          <w:rFonts w:ascii="Arial Narrow" w:hAnsi="Arial Narrow" w:cs="Arial"/>
          <w:b/>
          <w:sz w:val="20"/>
          <w:szCs w:val="20"/>
        </w:rPr>
        <w:t>-202</w:t>
      </w:r>
      <w:r>
        <w:rPr>
          <w:rFonts w:ascii="Arial Narrow" w:hAnsi="Arial Narrow" w:cs="Arial"/>
          <w:b/>
          <w:sz w:val="20"/>
          <w:szCs w:val="20"/>
        </w:rPr>
        <w:t>5</w:t>
      </w:r>
    </w:p>
    <w:p w14:paraId="057631A4" w14:textId="77777777" w:rsidR="003A3A93" w:rsidRPr="009744B9" w:rsidRDefault="003A3A93" w:rsidP="00C94517">
      <w:pPr>
        <w:jc w:val="center"/>
        <w:rPr>
          <w:rFonts w:ascii="Arial Narrow" w:hAnsi="Arial Narrow" w:cs="Arial"/>
          <w:b/>
          <w:sz w:val="20"/>
          <w:szCs w:val="20"/>
        </w:rPr>
      </w:pPr>
    </w:p>
    <w:p w14:paraId="225B22D1" w14:textId="77777777" w:rsidR="00C94517" w:rsidRPr="00734AC1" w:rsidRDefault="00C94517" w:rsidP="00C94517">
      <w:pPr>
        <w:pStyle w:val="Prrafodelista"/>
        <w:widowControl w:val="0"/>
        <w:numPr>
          <w:ilvl w:val="0"/>
          <w:numId w:val="6"/>
        </w:numPr>
        <w:autoSpaceDE w:val="0"/>
        <w:autoSpaceDN w:val="0"/>
        <w:adjustRightInd w:val="0"/>
        <w:ind w:left="397" w:right="-74" w:hanging="397"/>
        <w:contextualSpacing w:val="0"/>
        <w:rPr>
          <w:rFonts w:ascii="Arial Narrow" w:hAnsi="Arial Narrow"/>
          <w:bCs/>
          <w:sz w:val="20"/>
          <w:szCs w:val="20"/>
        </w:rPr>
      </w:pPr>
      <w:r w:rsidRPr="00734AC1">
        <w:rPr>
          <w:rFonts w:ascii="Arial Narrow" w:hAnsi="Arial Narrow"/>
          <w:b/>
          <w:sz w:val="20"/>
          <w:szCs w:val="20"/>
        </w:rPr>
        <w:t>Prácticas Prohibidas para el BID</w:t>
      </w:r>
    </w:p>
    <w:p w14:paraId="1D537548" w14:textId="77777777" w:rsidR="00C94517" w:rsidRPr="00734AC1" w:rsidRDefault="00C94517" w:rsidP="00C94517">
      <w:pPr>
        <w:pStyle w:val="Prrafodelista"/>
        <w:widowControl w:val="0"/>
        <w:autoSpaceDE w:val="0"/>
        <w:autoSpaceDN w:val="0"/>
        <w:adjustRightInd w:val="0"/>
        <w:ind w:left="397" w:right="-74"/>
        <w:rPr>
          <w:rFonts w:ascii="Arial Narrow" w:hAnsi="Arial Narrow"/>
          <w:bCs/>
          <w:sz w:val="20"/>
          <w:szCs w:val="20"/>
        </w:rPr>
      </w:pPr>
    </w:p>
    <w:p w14:paraId="25C71E54" w14:textId="77777777" w:rsidR="00C94517" w:rsidRPr="00734AC1" w:rsidRDefault="00C94517" w:rsidP="00C94517">
      <w:pPr>
        <w:widowControl w:val="0"/>
        <w:autoSpaceDE w:val="0"/>
        <w:autoSpaceDN w:val="0"/>
        <w:adjustRightInd w:val="0"/>
        <w:ind w:right="-74"/>
        <w:jc w:val="both"/>
        <w:rPr>
          <w:rFonts w:ascii="Arial Narrow" w:hAnsi="Arial Narrow"/>
          <w:bCs/>
          <w:sz w:val="20"/>
          <w:szCs w:val="20"/>
          <w:lang w:eastAsia="es-ES"/>
        </w:rPr>
      </w:pPr>
      <w:r w:rsidRPr="00734AC1">
        <w:rPr>
          <w:rFonts w:ascii="Arial Narrow" w:hAnsi="Arial Narrow"/>
          <w:bCs/>
          <w:sz w:val="20"/>
          <w:szCs w:val="20"/>
          <w:lang w:eastAsia="es-ES"/>
        </w:rPr>
        <w:t>De conformidad con</w:t>
      </w:r>
      <w:r w:rsidR="003A3A93">
        <w:rPr>
          <w:rFonts w:ascii="Arial Narrow" w:hAnsi="Arial Narrow"/>
          <w:bCs/>
          <w:sz w:val="20"/>
          <w:szCs w:val="20"/>
          <w:lang w:eastAsia="es-ES"/>
        </w:rPr>
        <w:t xml:space="preserve"> el numeral 1.16</w:t>
      </w:r>
      <w:r w:rsidRPr="00734AC1">
        <w:rPr>
          <w:rFonts w:ascii="Arial Narrow" w:hAnsi="Arial Narrow"/>
          <w:bCs/>
          <w:sz w:val="20"/>
          <w:szCs w:val="20"/>
          <w:lang w:eastAsia="es-ES"/>
        </w:rPr>
        <w:t xml:space="preserve"> </w:t>
      </w:r>
      <w:r w:rsidR="003A3A93">
        <w:rPr>
          <w:rFonts w:ascii="Arial Narrow" w:hAnsi="Arial Narrow"/>
          <w:bCs/>
          <w:sz w:val="20"/>
          <w:szCs w:val="20"/>
          <w:lang w:eastAsia="es-ES"/>
        </w:rPr>
        <w:t xml:space="preserve">de </w:t>
      </w:r>
      <w:r w:rsidRPr="00734AC1">
        <w:rPr>
          <w:rFonts w:ascii="Arial Narrow" w:hAnsi="Arial Narrow"/>
          <w:bCs/>
          <w:sz w:val="20"/>
          <w:szCs w:val="20"/>
          <w:lang w:eastAsia="es-ES"/>
        </w:rPr>
        <w:t>las Políticas para la Adquisición de Bienes y Obras Financiadas por el Banco Interamericano de Desarrollo GN-2349-15, versión de mayo de 2019</w:t>
      </w:r>
      <w:r w:rsidR="003A3A93">
        <w:rPr>
          <w:rFonts w:ascii="Arial Narrow" w:hAnsi="Arial Narrow"/>
          <w:bCs/>
          <w:sz w:val="20"/>
          <w:szCs w:val="20"/>
          <w:lang w:eastAsia="es-ES"/>
        </w:rPr>
        <w:t>:</w:t>
      </w:r>
    </w:p>
    <w:p w14:paraId="62E347D1" w14:textId="77777777" w:rsidR="00C94517" w:rsidRPr="00734AC1" w:rsidRDefault="00C94517" w:rsidP="00C94517">
      <w:pPr>
        <w:widowControl w:val="0"/>
        <w:autoSpaceDE w:val="0"/>
        <w:autoSpaceDN w:val="0"/>
        <w:adjustRightInd w:val="0"/>
        <w:ind w:right="-74"/>
        <w:jc w:val="both"/>
        <w:rPr>
          <w:rFonts w:ascii="Arial Narrow" w:hAnsi="Arial Narrow"/>
          <w:bCs/>
          <w:sz w:val="20"/>
          <w:szCs w:val="20"/>
          <w:lang w:eastAsia="es-ES"/>
        </w:rPr>
      </w:pPr>
    </w:p>
    <w:p w14:paraId="44470BD2" w14:textId="77777777" w:rsidR="00C94517" w:rsidRPr="003A3A93" w:rsidRDefault="00C94517" w:rsidP="003A3A93">
      <w:pPr>
        <w:pStyle w:val="Ttulo1"/>
        <w:spacing w:before="0" w:after="120"/>
        <w:jc w:val="both"/>
        <w:rPr>
          <w:rFonts w:ascii="Arial Narrow" w:hAnsi="Arial Narrow"/>
          <w:b/>
          <w:bCs/>
          <w:color w:val="auto"/>
          <w:sz w:val="20"/>
          <w:szCs w:val="20"/>
        </w:rPr>
      </w:pPr>
      <w:r w:rsidRPr="003A3A93">
        <w:rPr>
          <w:rFonts w:ascii="Arial Narrow" w:hAnsi="Arial Narrow"/>
          <w:color w:val="auto"/>
          <w:sz w:val="20"/>
          <w:szCs w:val="20"/>
        </w:rPr>
        <w:t>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w:t>
      </w:r>
      <w:r w:rsidRPr="003A3A93">
        <w:rPr>
          <w:rStyle w:val="Refdenotaalpie"/>
          <w:rFonts w:ascii="Arial Narrow" w:hAnsi="Arial Narrow"/>
          <w:color w:val="auto"/>
          <w:sz w:val="20"/>
          <w:szCs w:val="20"/>
        </w:rPr>
        <w:footnoteReference w:id="1"/>
      </w:r>
      <w:r w:rsidRPr="003A3A93">
        <w:rPr>
          <w:rFonts w:ascii="Arial Narrow" w:hAnsi="Arial Narrow"/>
          <w:color w:val="auto"/>
          <w:sz w:val="20"/>
          <w:szCs w:val="20"/>
        </w:rPr>
        <w:t xml:space="preserve">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4EA9368E" w14:textId="77777777" w:rsidR="00C94517" w:rsidRPr="00734AC1" w:rsidRDefault="00C94517" w:rsidP="00C94517">
      <w:pPr>
        <w:widowControl w:val="0"/>
        <w:numPr>
          <w:ilvl w:val="0"/>
          <w:numId w:val="1"/>
        </w:numPr>
        <w:spacing w:after="120"/>
        <w:ind w:left="1077"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A efectos del cumplimiento de esta Política, el Banco define las expresiones que se indican a continuación: </w:t>
      </w:r>
    </w:p>
    <w:p w14:paraId="4C9EC724" w14:textId="77777777" w:rsidR="00C94517" w:rsidRPr="00734AC1" w:rsidRDefault="00C94517" w:rsidP="00C94517">
      <w:pPr>
        <w:numPr>
          <w:ilvl w:val="0"/>
          <w:numId w:val="2"/>
        </w:numPr>
        <w:autoSpaceDE w:val="0"/>
        <w:autoSpaceDN w:val="0"/>
        <w:adjustRightInd w:val="0"/>
        <w:spacing w:after="120"/>
        <w:ind w:left="1531" w:hanging="397"/>
        <w:jc w:val="both"/>
        <w:rPr>
          <w:rFonts w:ascii="Arial Narrow" w:hAnsi="Arial Narrow" w:cs="Calibri"/>
          <w:color w:val="000000"/>
          <w:sz w:val="20"/>
          <w:szCs w:val="20"/>
        </w:rPr>
      </w:pPr>
      <w:r w:rsidRPr="00734AC1">
        <w:rPr>
          <w:rFonts w:ascii="Arial Narrow" w:hAnsi="Arial Narrow" w:cs="Calibri"/>
          <w:i/>
          <w:iCs/>
          <w:color w:val="000000"/>
          <w:sz w:val="20"/>
          <w:szCs w:val="20"/>
        </w:rPr>
        <w:t xml:space="preserve">Una práctica corrupta </w:t>
      </w:r>
      <w:r w:rsidRPr="00734AC1">
        <w:rPr>
          <w:rFonts w:ascii="Arial Narrow" w:hAnsi="Arial Narrow" w:cs="Calibri"/>
          <w:color w:val="000000"/>
          <w:sz w:val="20"/>
          <w:szCs w:val="20"/>
        </w:rPr>
        <w:t xml:space="preserve">consiste en ofrecer, dar, recibir, o solicitar, directa o indirectamente, cualquier cosa de valor para influenciar indebidamente las acciones de otra parte; </w:t>
      </w:r>
    </w:p>
    <w:p w14:paraId="024A9CF4" w14:textId="77777777" w:rsidR="00C94517" w:rsidRPr="00734AC1" w:rsidRDefault="00C94517" w:rsidP="00C94517">
      <w:pPr>
        <w:numPr>
          <w:ilvl w:val="0"/>
          <w:numId w:val="2"/>
        </w:numPr>
        <w:autoSpaceDE w:val="0"/>
        <w:autoSpaceDN w:val="0"/>
        <w:adjustRightInd w:val="0"/>
        <w:spacing w:after="120"/>
        <w:ind w:left="1531" w:hanging="397"/>
        <w:jc w:val="both"/>
        <w:rPr>
          <w:rFonts w:ascii="Arial Narrow" w:hAnsi="Arial Narrow" w:cs="Calibri"/>
          <w:color w:val="000000"/>
          <w:sz w:val="20"/>
          <w:szCs w:val="20"/>
        </w:rPr>
      </w:pPr>
      <w:r w:rsidRPr="00734AC1">
        <w:rPr>
          <w:rFonts w:ascii="Arial Narrow" w:hAnsi="Arial Narrow" w:cs="Calibri"/>
          <w:i/>
          <w:iCs/>
          <w:color w:val="000000"/>
          <w:sz w:val="20"/>
          <w:szCs w:val="20"/>
        </w:rPr>
        <w:t xml:space="preserve">Una </w:t>
      </w:r>
      <w:r w:rsidRPr="00734AC1">
        <w:rPr>
          <w:rFonts w:ascii="Arial Narrow" w:hAnsi="Arial Narrow" w:cs="Calibri"/>
          <w:color w:val="000000"/>
          <w:sz w:val="20"/>
          <w:szCs w:val="20"/>
        </w:rPr>
        <w:t>práctica</w:t>
      </w:r>
      <w:r w:rsidRPr="00734AC1">
        <w:rPr>
          <w:rFonts w:ascii="Arial Narrow" w:hAnsi="Arial Narrow" w:cs="Calibri"/>
          <w:i/>
          <w:iCs/>
          <w:color w:val="000000"/>
          <w:sz w:val="20"/>
          <w:szCs w:val="20"/>
        </w:rPr>
        <w:t xml:space="preserve"> fraudulenta </w:t>
      </w:r>
      <w:r w:rsidRPr="00734AC1">
        <w:rPr>
          <w:rFonts w:ascii="Arial Narrow" w:hAnsi="Arial Narrow" w:cs="Calibri"/>
          <w:color w:val="000000"/>
          <w:sz w:val="20"/>
          <w:szCs w:val="20"/>
        </w:rPr>
        <w:t xml:space="preserve">es cualquier acto u omisión, incluida la tergiversación de hechos y circunstancias, que deliberada o imprudentemente engañen, o intenten engañar, a alguna parte para obtener un beneficio financiero o de otra naturaleza o para evadir una obligación; </w:t>
      </w:r>
    </w:p>
    <w:p w14:paraId="0373ED33" w14:textId="77777777" w:rsidR="00C94517" w:rsidRPr="00734AC1" w:rsidRDefault="00C94517" w:rsidP="00C94517">
      <w:pPr>
        <w:numPr>
          <w:ilvl w:val="0"/>
          <w:numId w:val="2"/>
        </w:numPr>
        <w:autoSpaceDE w:val="0"/>
        <w:autoSpaceDN w:val="0"/>
        <w:adjustRightInd w:val="0"/>
        <w:spacing w:after="120"/>
        <w:ind w:left="1531" w:hanging="397"/>
        <w:jc w:val="both"/>
        <w:rPr>
          <w:rFonts w:ascii="Arial Narrow" w:hAnsi="Arial Narrow" w:cs="Calibri"/>
          <w:color w:val="000000"/>
          <w:sz w:val="20"/>
          <w:szCs w:val="20"/>
        </w:rPr>
      </w:pPr>
      <w:r w:rsidRPr="00734AC1">
        <w:rPr>
          <w:rFonts w:ascii="Arial Narrow" w:hAnsi="Arial Narrow" w:cs="Calibri"/>
          <w:i/>
          <w:iCs/>
          <w:color w:val="000000"/>
          <w:sz w:val="20"/>
          <w:szCs w:val="20"/>
        </w:rPr>
        <w:t xml:space="preserve">Una práctica coercitiva </w:t>
      </w:r>
      <w:r w:rsidRPr="00734AC1">
        <w:rPr>
          <w:rFonts w:ascii="Arial Narrow" w:hAnsi="Arial Narrow" w:cs="Calibri"/>
          <w:color w:val="000000"/>
          <w:sz w:val="20"/>
          <w:szCs w:val="20"/>
        </w:rPr>
        <w:t xml:space="preserve">consiste en perjudicar o causar daño, o amenazar con perjudicar o causar daño, directa o indirectamente, a cualquier parte o a sus bienes para influenciar indebidamente las acciones de una parte; </w:t>
      </w:r>
    </w:p>
    <w:p w14:paraId="115F659F" w14:textId="77777777" w:rsidR="00C94517" w:rsidRPr="00734AC1" w:rsidRDefault="00C94517" w:rsidP="00C94517">
      <w:pPr>
        <w:numPr>
          <w:ilvl w:val="0"/>
          <w:numId w:val="2"/>
        </w:numPr>
        <w:autoSpaceDE w:val="0"/>
        <w:autoSpaceDN w:val="0"/>
        <w:adjustRightInd w:val="0"/>
        <w:spacing w:after="120"/>
        <w:ind w:left="1531" w:hanging="397"/>
        <w:jc w:val="both"/>
        <w:rPr>
          <w:rFonts w:ascii="Arial Narrow" w:hAnsi="Arial Narrow" w:cs="Calibri"/>
          <w:color w:val="000000"/>
          <w:sz w:val="20"/>
          <w:szCs w:val="20"/>
        </w:rPr>
      </w:pPr>
      <w:r w:rsidRPr="00734AC1">
        <w:rPr>
          <w:rFonts w:ascii="Arial Narrow" w:hAnsi="Arial Narrow" w:cs="Calibri"/>
          <w:i/>
          <w:iCs/>
          <w:color w:val="000000"/>
          <w:sz w:val="20"/>
          <w:szCs w:val="20"/>
        </w:rPr>
        <w:t>Una p</w:t>
      </w:r>
      <w:r w:rsidRPr="00734AC1">
        <w:rPr>
          <w:rFonts w:ascii="Arial Narrow" w:hAnsi="Arial Narrow" w:cs="Calibri"/>
          <w:color w:val="000000"/>
          <w:sz w:val="20"/>
          <w:szCs w:val="20"/>
        </w:rPr>
        <w:t>r</w:t>
      </w:r>
      <w:r w:rsidRPr="00734AC1">
        <w:rPr>
          <w:rFonts w:ascii="Arial Narrow" w:hAnsi="Arial Narrow" w:cs="Calibri"/>
          <w:i/>
          <w:iCs/>
          <w:color w:val="000000"/>
          <w:sz w:val="20"/>
          <w:szCs w:val="20"/>
        </w:rPr>
        <w:t xml:space="preserve">áctica colusoria </w:t>
      </w:r>
      <w:r w:rsidRPr="00734AC1">
        <w:rPr>
          <w:rFonts w:ascii="Arial Narrow" w:hAnsi="Arial Narrow" w:cs="Calibri"/>
          <w:color w:val="000000"/>
          <w:sz w:val="20"/>
          <w:szCs w:val="20"/>
        </w:rPr>
        <w:t xml:space="preserve">es un acuerdo entre dos o más partes realizado con la intención de alcanzar un propósito inapropiado, lo que incluye influenciar en forma inapropiada las acciones de otra parte; </w:t>
      </w:r>
    </w:p>
    <w:p w14:paraId="13CA2FB0" w14:textId="77777777" w:rsidR="00C94517" w:rsidRPr="00734AC1" w:rsidRDefault="00C94517" w:rsidP="00C94517">
      <w:pPr>
        <w:numPr>
          <w:ilvl w:val="0"/>
          <w:numId w:val="2"/>
        </w:numPr>
        <w:autoSpaceDE w:val="0"/>
        <w:autoSpaceDN w:val="0"/>
        <w:adjustRightInd w:val="0"/>
        <w:spacing w:after="120"/>
        <w:ind w:left="1531" w:hanging="397"/>
        <w:jc w:val="both"/>
        <w:rPr>
          <w:rFonts w:ascii="Arial Narrow" w:hAnsi="Arial Narrow" w:cs="Calibri"/>
          <w:color w:val="000000"/>
          <w:sz w:val="20"/>
          <w:szCs w:val="20"/>
        </w:rPr>
      </w:pPr>
      <w:r w:rsidRPr="00734AC1">
        <w:rPr>
          <w:rFonts w:ascii="Arial Narrow" w:hAnsi="Arial Narrow" w:cs="Calibri"/>
          <w:i/>
          <w:iCs/>
          <w:color w:val="000000"/>
          <w:sz w:val="20"/>
          <w:szCs w:val="20"/>
        </w:rPr>
        <w:t xml:space="preserve">Una práctica obstructiva </w:t>
      </w:r>
      <w:r w:rsidRPr="00734AC1">
        <w:rPr>
          <w:rFonts w:ascii="Arial Narrow" w:hAnsi="Arial Narrow" w:cs="Calibri"/>
          <w:color w:val="000000"/>
          <w:sz w:val="20"/>
          <w:szCs w:val="20"/>
        </w:rPr>
        <w:t xml:space="preserve">consiste en </w:t>
      </w:r>
    </w:p>
    <w:p w14:paraId="4E94409A" w14:textId="77777777" w:rsidR="00C94517" w:rsidRPr="00734AC1" w:rsidRDefault="00C94517" w:rsidP="00C94517">
      <w:pPr>
        <w:numPr>
          <w:ilvl w:val="0"/>
          <w:numId w:val="3"/>
        </w:numPr>
        <w:autoSpaceDE w:val="0"/>
        <w:autoSpaceDN w:val="0"/>
        <w:adjustRightInd w:val="0"/>
        <w:spacing w:after="120"/>
        <w:ind w:left="1815"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287F24FB" w14:textId="77777777" w:rsidR="00C94517" w:rsidRPr="00734AC1" w:rsidRDefault="00C94517" w:rsidP="00C94517">
      <w:pPr>
        <w:numPr>
          <w:ilvl w:val="0"/>
          <w:numId w:val="3"/>
        </w:numPr>
        <w:autoSpaceDE w:val="0"/>
        <w:autoSpaceDN w:val="0"/>
        <w:adjustRightInd w:val="0"/>
        <w:spacing w:after="120"/>
        <w:ind w:left="1815"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amenazar, hostigar o intimidar a cualquier parte para impedir que divulgue su conocimiento de asuntos que son importantes para una investigación del Grupo BID o que prosiga con la investigación; o </w:t>
      </w:r>
    </w:p>
    <w:p w14:paraId="30BA88DA" w14:textId="77777777" w:rsidR="00C94517" w:rsidRPr="00734AC1" w:rsidRDefault="00C94517" w:rsidP="00C94517">
      <w:pPr>
        <w:numPr>
          <w:ilvl w:val="0"/>
          <w:numId w:val="3"/>
        </w:numPr>
        <w:autoSpaceDE w:val="0"/>
        <w:autoSpaceDN w:val="0"/>
        <w:adjustRightInd w:val="0"/>
        <w:spacing w:after="120"/>
        <w:ind w:left="1815" w:hanging="397"/>
        <w:jc w:val="both"/>
        <w:rPr>
          <w:rFonts w:ascii="Arial Narrow" w:hAnsi="Arial Narrow" w:cs="Calibri"/>
          <w:color w:val="000000"/>
          <w:sz w:val="20"/>
          <w:szCs w:val="20"/>
        </w:rPr>
      </w:pPr>
      <w:r w:rsidRPr="00734AC1">
        <w:rPr>
          <w:rFonts w:ascii="Arial Narrow" w:hAnsi="Arial Narrow" w:cs="Calibri"/>
          <w:color w:val="000000"/>
          <w:sz w:val="20"/>
          <w:szCs w:val="20"/>
        </w:rPr>
        <w:lastRenderedPageBreak/>
        <w:t xml:space="preserve">actos realizados con la intención de impedir el ejercicio de los derechos contractuales de auditoría e inspección del Grupo BID previstos en el párrafo 1.16 (f) de abajo, o sus derechos de acceso a la información; y </w:t>
      </w:r>
    </w:p>
    <w:p w14:paraId="7F20DA99" w14:textId="77777777" w:rsidR="00C94517" w:rsidRPr="00734AC1" w:rsidRDefault="00C94517" w:rsidP="00C94517">
      <w:pPr>
        <w:numPr>
          <w:ilvl w:val="0"/>
          <w:numId w:val="3"/>
        </w:numPr>
        <w:autoSpaceDE w:val="0"/>
        <w:autoSpaceDN w:val="0"/>
        <w:adjustRightInd w:val="0"/>
        <w:spacing w:after="120"/>
        <w:ind w:left="1815"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La </w:t>
      </w:r>
      <w:r w:rsidRPr="00734AC1">
        <w:rPr>
          <w:rFonts w:ascii="Arial Narrow" w:hAnsi="Arial Narrow" w:cs="Calibri"/>
          <w:i/>
          <w:iCs/>
          <w:color w:val="000000"/>
          <w:sz w:val="20"/>
          <w:szCs w:val="20"/>
        </w:rPr>
        <w:t xml:space="preserve">apropiación indebida </w:t>
      </w:r>
      <w:r w:rsidRPr="00734AC1">
        <w:rPr>
          <w:rFonts w:ascii="Arial Narrow" w:hAnsi="Arial Narrow" w:cs="Calibri"/>
          <w:color w:val="000000"/>
          <w:sz w:val="20"/>
          <w:szCs w:val="20"/>
        </w:rPr>
        <w:t xml:space="preserve">consiste en el uso de fondos o recursos del Grupo BID para un propósito indebido o para un propósito no autorizado, cometido de forma intencional o por negligencia grave. </w:t>
      </w:r>
    </w:p>
    <w:p w14:paraId="2A6F23C2" w14:textId="77777777" w:rsidR="00C94517" w:rsidRPr="00734AC1" w:rsidRDefault="00C94517" w:rsidP="00C94517">
      <w:pPr>
        <w:widowControl w:val="0"/>
        <w:numPr>
          <w:ilvl w:val="0"/>
          <w:numId w:val="1"/>
        </w:numPr>
        <w:spacing w:after="120"/>
        <w:ind w:left="1077"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w:t>
      </w:r>
    </w:p>
    <w:p w14:paraId="04BB8CD7" w14:textId="77777777" w:rsidR="00C94517" w:rsidRPr="00734AC1" w:rsidRDefault="00C94517" w:rsidP="00C94517">
      <w:pPr>
        <w:numPr>
          <w:ilvl w:val="0"/>
          <w:numId w:val="4"/>
        </w:numPr>
        <w:autoSpaceDE w:val="0"/>
        <w:autoSpaceDN w:val="0"/>
        <w:adjustRightInd w:val="0"/>
        <w:spacing w:after="120"/>
        <w:ind w:left="1531"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No financiar ninguna propuesta de adjudicación de un contrato para la adquisición de bienes o la contratación de obras financiadas por el Banco; </w:t>
      </w:r>
    </w:p>
    <w:p w14:paraId="2A16D2E6" w14:textId="77777777" w:rsidR="00C94517" w:rsidRPr="00734AC1" w:rsidRDefault="00C94517" w:rsidP="00C94517">
      <w:pPr>
        <w:numPr>
          <w:ilvl w:val="0"/>
          <w:numId w:val="4"/>
        </w:numPr>
        <w:autoSpaceDE w:val="0"/>
        <w:autoSpaceDN w:val="0"/>
        <w:adjustRightInd w:val="0"/>
        <w:spacing w:after="120"/>
        <w:ind w:left="1531"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Suspender los desembolsos de la operación, si se determina, en cualquier etapa, que un empleado, agencia o representante del Prestatario, el Organismo Ejecutor o el Organismo Contratante ha cometido una Práctica Prohibida; </w:t>
      </w:r>
    </w:p>
    <w:p w14:paraId="48A57D46" w14:textId="77777777" w:rsidR="00C94517" w:rsidRPr="00734AC1" w:rsidRDefault="00C94517" w:rsidP="00C94517">
      <w:pPr>
        <w:numPr>
          <w:ilvl w:val="0"/>
          <w:numId w:val="4"/>
        </w:numPr>
        <w:autoSpaceDE w:val="0"/>
        <w:autoSpaceDN w:val="0"/>
        <w:adjustRightInd w:val="0"/>
        <w:spacing w:after="120"/>
        <w:ind w:left="1531"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14:paraId="0FC3B75B" w14:textId="77777777" w:rsidR="00C94517" w:rsidRPr="00734AC1" w:rsidRDefault="00C94517" w:rsidP="00C94517">
      <w:pPr>
        <w:numPr>
          <w:ilvl w:val="0"/>
          <w:numId w:val="4"/>
        </w:numPr>
        <w:autoSpaceDE w:val="0"/>
        <w:autoSpaceDN w:val="0"/>
        <w:adjustRightInd w:val="0"/>
        <w:spacing w:after="120"/>
        <w:ind w:left="1531"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Emitir una amonestación a la firma, entidad o individuo en el formato de una carta formal de censura por su conducta; </w:t>
      </w:r>
    </w:p>
    <w:p w14:paraId="625DD820" w14:textId="77777777" w:rsidR="00C94517" w:rsidRPr="00734AC1" w:rsidRDefault="00C94517" w:rsidP="00C94517">
      <w:pPr>
        <w:numPr>
          <w:ilvl w:val="0"/>
          <w:numId w:val="4"/>
        </w:numPr>
        <w:autoSpaceDE w:val="0"/>
        <w:autoSpaceDN w:val="0"/>
        <w:adjustRightInd w:val="0"/>
        <w:spacing w:after="120"/>
        <w:ind w:left="1531" w:hanging="397"/>
        <w:jc w:val="both"/>
        <w:rPr>
          <w:rFonts w:ascii="Arial Narrow" w:hAnsi="Arial Narrow" w:cs="Calibri"/>
          <w:color w:val="000000"/>
          <w:sz w:val="20"/>
          <w:szCs w:val="20"/>
        </w:rPr>
      </w:pPr>
      <w:r w:rsidRPr="00734AC1">
        <w:rPr>
          <w:rFonts w:ascii="Arial Narrow" w:hAnsi="Arial Narrow" w:cs="Calibri"/>
          <w:color w:val="000000"/>
          <w:sz w:val="20"/>
          <w:szCs w:val="20"/>
        </w:rPr>
        <w:t>Declarar a una firma, entidad o individuo inelegible, en forma permanente o por determinado período de tiempo, para que (i) se le adjudiquen o participe en actividades financiadas por el Banco, y (ii) sea designado</w:t>
      </w:r>
      <w:r w:rsidRPr="00734AC1">
        <w:rPr>
          <w:rStyle w:val="Refdenotaalpie"/>
          <w:rFonts w:ascii="Arial Narrow" w:hAnsi="Arial Narrow" w:cs="Calibri"/>
          <w:color w:val="000000"/>
          <w:sz w:val="20"/>
          <w:szCs w:val="20"/>
        </w:rPr>
        <w:footnoteReference w:id="2"/>
      </w:r>
      <w:r w:rsidRPr="00734AC1">
        <w:rPr>
          <w:rFonts w:ascii="Arial Narrow" w:hAnsi="Arial Narrow" w:cs="Calibri"/>
          <w:color w:val="000000"/>
          <w:sz w:val="20"/>
          <w:szCs w:val="20"/>
        </w:rPr>
        <w:t xml:space="preserve"> </w:t>
      </w:r>
      <w:proofErr w:type="spellStart"/>
      <w:r w:rsidRPr="00734AC1">
        <w:rPr>
          <w:rFonts w:ascii="Arial Narrow" w:hAnsi="Arial Narrow" w:cs="Calibri"/>
          <w:color w:val="000000"/>
          <w:sz w:val="20"/>
          <w:szCs w:val="20"/>
        </w:rPr>
        <w:t>subconsultor</w:t>
      </w:r>
      <w:proofErr w:type="spellEnd"/>
      <w:r w:rsidRPr="00734AC1">
        <w:rPr>
          <w:rFonts w:ascii="Arial Narrow" w:hAnsi="Arial Narrow" w:cs="Calibri"/>
          <w:color w:val="000000"/>
          <w:sz w:val="20"/>
          <w:szCs w:val="20"/>
        </w:rPr>
        <w:t xml:space="preserve">, subcontratista o proveedor de bienes o servicios por otra firma elegible a la que se adjudique un contrato para ejecutar actividades financiadas por el Banco; </w:t>
      </w:r>
    </w:p>
    <w:p w14:paraId="3F9B9CD2" w14:textId="77777777" w:rsidR="00C94517" w:rsidRPr="00734AC1" w:rsidRDefault="00C94517" w:rsidP="00C94517">
      <w:pPr>
        <w:numPr>
          <w:ilvl w:val="0"/>
          <w:numId w:val="4"/>
        </w:numPr>
        <w:autoSpaceDE w:val="0"/>
        <w:autoSpaceDN w:val="0"/>
        <w:adjustRightInd w:val="0"/>
        <w:spacing w:after="120"/>
        <w:ind w:left="1531"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Remitir el tema a las autoridades pertinentes encargadas de hacer cumplir las leyes; o </w:t>
      </w:r>
    </w:p>
    <w:p w14:paraId="4FDBED1E" w14:textId="77777777" w:rsidR="00C94517" w:rsidRPr="00734AC1" w:rsidRDefault="00C94517" w:rsidP="00C94517">
      <w:pPr>
        <w:numPr>
          <w:ilvl w:val="0"/>
          <w:numId w:val="4"/>
        </w:numPr>
        <w:autoSpaceDE w:val="0"/>
        <w:autoSpaceDN w:val="0"/>
        <w:adjustRightInd w:val="0"/>
        <w:spacing w:after="120"/>
        <w:ind w:left="1531"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43248704" w14:textId="77777777" w:rsidR="00C94517" w:rsidRPr="00734AC1" w:rsidRDefault="00C94517" w:rsidP="00C94517">
      <w:pPr>
        <w:widowControl w:val="0"/>
        <w:numPr>
          <w:ilvl w:val="0"/>
          <w:numId w:val="1"/>
        </w:numPr>
        <w:spacing w:after="120"/>
        <w:ind w:left="1077"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Lo dispuesto en los incisos (i) y (ii) del párrafo 1.16 (b) se aplicará también en casos en los que las partes hayan sido temporalmente declaradas inelegibles para la adjudicación de nuevos contratos en espera de que se adopte una decisión definitiva en un proceso de sanción, o cualquier otra resolución. </w:t>
      </w:r>
    </w:p>
    <w:p w14:paraId="6B5C8C9A" w14:textId="77777777" w:rsidR="00C94517" w:rsidRPr="00734AC1" w:rsidRDefault="00C94517" w:rsidP="00C94517">
      <w:pPr>
        <w:widowControl w:val="0"/>
        <w:numPr>
          <w:ilvl w:val="0"/>
          <w:numId w:val="1"/>
        </w:numPr>
        <w:spacing w:after="120"/>
        <w:ind w:left="1077"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La imposición de cualquier medida que sea tomada por el Banco de conformidad con las provisiones </w:t>
      </w:r>
      <w:r w:rsidRPr="00734AC1">
        <w:rPr>
          <w:rFonts w:ascii="Arial Narrow" w:hAnsi="Arial Narrow" w:cs="Calibri"/>
          <w:color w:val="000000"/>
          <w:sz w:val="20"/>
          <w:szCs w:val="20"/>
        </w:rPr>
        <w:lastRenderedPageBreak/>
        <w:t xml:space="preserve">referidas anteriormente será de carácter público. </w:t>
      </w:r>
    </w:p>
    <w:p w14:paraId="588ADC37" w14:textId="77777777" w:rsidR="00C94517" w:rsidRPr="00734AC1" w:rsidRDefault="00C94517" w:rsidP="00C94517">
      <w:pPr>
        <w:widowControl w:val="0"/>
        <w:numPr>
          <w:ilvl w:val="0"/>
          <w:numId w:val="1"/>
        </w:numPr>
        <w:spacing w:after="120"/>
        <w:ind w:left="1077" w:hanging="397"/>
        <w:jc w:val="both"/>
        <w:rPr>
          <w:rFonts w:ascii="Arial Narrow" w:hAnsi="Arial Narrow" w:cs="Calibri"/>
          <w:sz w:val="20"/>
          <w:szCs w:val="20"/>
        </w:rPr>
      </w:pPr>
      <w:r w:rsidRPr="00734AC1">
        <w:rPr>
          <w:rFonts w:ascii="Arial Narrow" w:hAnsi="Arial Narrow" w:cs="Calibri"/>
          <w:color w:val="000000"/>
          <w:sz w:val="20"/>
          <w:szCs w:val="20"/>
        </w:rPr>
        <w:t>Asimismo</w:t>
      </w:r>
      <w:r w:rsidRPr="00734AC1">
        <w:rPr>
          <w:rFonts w:ascii="Arial Narrow" w:hAnsi="Arial Narrow" w:cs="Calibri"/>
          <w:sz w:val="20"/>
          <w:szCs w:val="20"/>
        </w:rPr>
        <w:t xml:space="preserve">, cualquier firma, entidad o individuo actuando como oferente o participando en una actividad financiada por el </w:t>
      </w:r>
      <w:r w:rsidRPr="00734AC1">
        <w:rPr>
          <w:rFonts w:ascii="Arial Narrow" w:hAnsi="Arial Narrow" w:cs="Calibri"/>
          <w:color w:val="000000"/>
          <w:sz w:val="20"/>
          <w:szCs w:val="20"/>
        </w:rPr>
        <w:t>Banco</w:t>
      </w:r>
      <w:r w:rsidRPr="00734AC1">
        <w:rPr>
          <w:rFonts w:ascii="Arial Narrow" w:hAnsi="Arial Narrow" w:cs="Calibri"/>
          <w:sz w:val="20"/>
          <w:szCs w:val="20"/>
        </w:rPr>
        <w:t>,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622F15F3" w14:textId="77777777" w:rsidR="00C94517" w:rsidRPr="00734AC1" w:rsidRDefault="00C94517" w:rsidP="00C94517">
      <w:pPr>
        <w:widowControl w:val="0"/>
        <w:numPr>
          <w:ilvl w:val="0"/>
          <w:numId w:val="1"/>
        </w:numPr>
        <w:spacing w:after="120"/>
        <w:ind w:left="1077"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734AC1">
        <w:rPr>
          <w:rFonts w:ascii="Arial Narrow" w:hAnsi="Arial Narrow" w:cs="Calibri"/>
          <w:color w:val="000000"/>
          <w:sz w:val="20"/>
          <w:szCs w:val="20"/>
        </w:rPr>
        <w:t>subconsultor</w:t>
      </w:r>
      <w:proofErr w:type="spellEnd"/>
      <w:r w:rsidRPr="00734AC1">
        <w:rPr>
          <w:rFonts w:ascii="Arial Narrow" w:hAnsi="Arial Narrow" w:cs="Calibri"/>
          <w:color w:val="000000"/>
          <w:sz w:val="20"/>
          <w:szCs w:val="20"/>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Pr="00734AC1">
        <w:rPr>
          <w:rFonts w:ascii="Arial Narrow" w:hAnsi="Arial Narrow" w:cs="Calibri"/>
          <w:color w:val="000000"/>
          <w:sz w:val="20"/>
          <w:szCs w:val="20"/>
        </w:rPr>
        <w:t>subconsultor</w:t>
      </w:r>
      <w:proofErr w:type="spellEnd"/>
      <w:r w:rsidRPr="00734AC1">
        <w:rPr>
          <w:rFonts w:ascii="Arial Narrow" w:hAnsi="Arial Narrow" w:cs="Calibri"/>
          <w:color w:val="000000"/>
          <w:sz w:val="20"/>
          <w:szCs w:val="20"/>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734AC1">
        <w:rPr>
          <w:rFonts w:ascii="Arial Narrow" w:hAnsi="Arial Narrow" w:cs="Calibri"/>
          <w:color w:val="000000"/>
          <w:sz w:val="20"/>
          <w:szCs w:val="20"/>
        </w:rPr>
        <w:t>subconsultor</w:t>
      </w:r>
      <w:proofErr w:type="spellEnd"/>
      <w:r w:rsidRPr="00734AC1">
        <w:rPr>
          <w:rFonts w:ascii="Arial Narrow" w:hAnsi="Arial Narrow" w:cs="Calibri"/>
          <w:color w:val="000000"/>
          <w:sz w:val="20"/>
          <w:szCs w:val="20"/>
        </w:rPr>
        <w:t xml:space="preserve">, proveedor de servicios o concesionario. </w:t>
      </w:r>
    </w:p>
    <w:p w14:paraId="436A01AA" w14:textId="77777777" w:rsidR="00C94517" w:rsidRPr="00734AC1" w:rsidRDefault="00C94517" w:rsidP="00C94517">
      <w:pPr>
        <w:widowControl w:val="0"/>
        <w:numPr>
          <w:ilvl w:val="0"/>
          <w:numId w:val="1"/>
        </w:numPr>
        <w:spacing w:after="120"/>
        <w:ind w:left="1077" w:hanging="397"/>
        <w:jc w:val="both"/>
        <w:rPr>
          <w:rFonts w:ascii="Arial Narrow" w:hAnsi="Arial Narrow" w:cs="Calibri"/>
          <w:sz w:val="20"/>
          <w:szCs w:val="20"/>
        </w:rPr>
      </w:pPr>
      <w:r w:rsidRPr="00734AC1">
        <w:rPr>
          <w:rFonts w:ascii="Arial Narrow" w:hAnsi="Arial Narrow" w:cs="Calibri"/>
          <w:sz w:val="20"/>
          <w:szCs w:val="20"/>
        </w:rPr>
        <w:t xml:space="preserve">El </w:t>
      </w:r>
      <w:r w:rsidRPr="00734AC1">
        <w:rPr>
          <w:rFonts w:ascii="Arial Narrow" w:hAnsi="Arial Narrow" w:cs="Calibri"/>
          <w:color w:val="000000"/>
          <w:sz w:val="20"/>
          <w:szCs w:val="20"/>
        </w:rPr>
        <w:t>Banco</w:t>
      </w:r>
      <w:r w:rsidRPr="00734AC1">
        <w:rPr>
          <w:rFonts w:ascii="Arial Narrow" w:hAnsi="Arial Narrow" w:cs="Calibri"/>
          <w:sz w:val="20"/>
          <w:szCs w:val="20"/>
        </w:rPr>
        <w:t xml:space="preserve">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1.16 relativas a sanciones y Prácticas Prohibidas se apliquen íntegramente a los solicitantes, </w:t>
      </w:r>
      <w:r w:rsidRPr="00734AC1">
        <w:rPr>
          <w:rFonts w:ascii="Arial Narrow" w:hAnsi="Arial Narrow" w:cs="Calibri"/>
          <w:color w:val="000000"/>
          <w:sz w:val="20"/>
          <w:szCs w:val="20"/>
        </w:rPr>
        <w:t>oferentes</w:t>
      </w:r>
      <w:r w:rsidRPr="00734AC1">
        <w:rPr>
          <w:rFonts w:ascii="Arial Narrow" w:hAnsi="Arial Narrow" w:cs="Calibri"/>
          <w:sz w:val="20"/>
          <w:szCs w:val="20"/>
        </w:rPr>
        <w:t xml:space="preserve">,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w:t>
      </w:r>
      <w:r w:rsidRPr="00734AC1">
        <w:rPr>
          <w:rFonts w:ascii="Arial Narrow" w:hAnsi="Arial Narrow" w:cs="Calibri"/>
          <w:sz w:val="20"/>
          <w:szCs w:val="20"/>
        </w:rPr>
        <w:lastRenderedPageBreak/>
        <w:t xml:space="preserve">especializada suscriba un contrato o una orden de compra con una firma o individuo declarado inelegible de forma temporal o permanente por el Banco, el Banco no financiará los gastos conexos y se acogerá a otras medidas que considere convenientes </w:t>
      </w:r>
    </w:p>
    <w:p w14:paraId="54CEB04C" w14:textId="77777777" w:rsidR="00C94517" w:rsidRPr="003A3A93" w:rsidRDefault="00C94517" w:rsidP="003A3A93">
      <w:pPr>
        <w:pStyle w:val="Ttulo1"/>
        <w:spacing w:before="0"/>
        <w:jc w:val="both"/>
        <w:rPr>
          <w:rFonts w:ascii="Arial Narrow" w:hAnsi="Arial Narrow"/>
          <w:b/>
          <w:bCs/>
          <w:color w:val="auto"/>
          <w:sz w:val="20"/>
          <w:szCs w:val="20"/>
        </w:rPr>
      </w:pPr>
      <w:r w:rsidRPr="003A3A93">
        <w:rPr>
          <w:rFonts w:ascii="Arial Narrow" w:hAnsi="Arial Narrow"/>
          <w:color w:val="auto"/>
          <w:sz w:val="20"/>
          <w:szCs w:val="20"/>
        </w:rPr>
        <w:t xml:space="preserve">Además de tener en cuenta la lista de empresas y personas sancionadas del Banco, un Prestatario podrá, con el acuerdo específico del Banco, incluir en los formularios de licitación para contratos financiados por el Banco la declaratoria jurada del oferente de observar las leyes y el sistema de sanciones del país contra prácticas prohibidas (incluidos sobornos), así como las regulaciones y sanciones relacionadas con prácticas prohibidas de un organismo multilateral o bilateral de desarrollo u organización internacional, en calidad de cofinanciador, cuando compita o ejecute un contrato, conforme estas hayan sido incluidas en los documentos de </w:t>
      </w:r>
      <w:r w:rsidR="003A3A93">
        <w:rPr>
          <w:rFonts w:ascii="Arial Narrow" w:hAnsi="Arial Narrow"/>
          <w:color w:val="auto"/>
          <w:sz w:val="20"/>
          <w:szCs w:val="20"/>
        </w:rPr>
        <w:t>la contratación</w:t>
      </w:r>
      <w:r w:rsidRPr="003A3A93">
        <w:rPr>
          <w:rStyle w:val="Refdenotaalpie"/>
          <w:rFonts w:ascii="Arial Narrow" w:hAnsi="Arial Narrow"/>
          <w:color w:val="auto"/>
          <w:sz w:val="20"/>
          <w:szCs w:val="20"/>
        </w:rPr>
        <w:footnoteReference w:id="3"/>
      </w:r>
      <w:r w:rsidRPr="003A3A93">
        <w:rPr>
          <w:rFonts w:ascii="Arial Narrow" w:hAnsi="Arial Narrow"/>
          <w:color w:val="auto"/>
          <w:sz w:val="20"/>
          <w:szCs w:val="20"/>
        </w:rPr>
        <w:t>. El Banco aceptará la introducción de tal declaratoria a petición del país del Prestatario, siempre que los acuerdos que rijan esa declaratoria sean satisfactorios al Banco.</w:t>
      </w:r>
    </w:p>
    <w:p w14:paraId="0A8B8272" w14:textId="77777777" w:rsidR="003A3A93" w:rsidRDefault="003A3A93" w:rsidP="00C94517">
      <w:pPr>
        <w:pStyle w:val="Prrafodelista"/>
        <w:ind w:left="2977" w:firstLine="568"/>
        <w:rPr>
          <w:rFonts w:ascii="Arial Narrow" w:hAnsi="Arial Narrow" w:cs="Arial"/>
          <w:b/>
          <w:sz w:val="20"/>
          <w:szCs w:val="20"/>
        </w:rPr>
      </w:pPr>
    </w:p>
    <w:p w14:paraId="2517F5C8" w14:textId="4ABA40F6" w:rsidR="00C94517" w:rsidRDefault="00C94517" w:rsidP="00C94517">
      <w:pPr>
        <w:pStyle w:val="Prrafodelista"/>
        <w:ind w:left="2977" w:firstLine="568"/>
        <w:rPr>
          <w:rFonts w:ascii="Arial Narrow" w:hAnsi="Arial Narrow" w:cs="Arial"/>
          <w:b/>
          <w:sz w:val="20"/>
          <w:szCs w:val="20"/>
        </w:rPr>
      </w:pPr>
      <w:r w:rsidRPr="00734AC1">
        <w:rPr>
          <w:rFonts w:ascii="Arial Narrow" w:hAnsi="Arial Narrow" w:cs="Arial"/>
          <w:b/>
          <w:sz w:val="20"/>
          <w:szCs w:val="20"/>
        </w:rPr>
        <w:t xml:space="preserve">--- FIN ANEXO </w:t>
      </w:r>
      <w:r w:rsidR="005B464C">
        <w:rPr>
          <w:rFonts w:ascii="Arial Narrow" w:hAnsi="Arial Narrow" w:cs="Arial"/>
          <w:b/>
          <w:sz w:val="20"/>
          <w:szCs w:val="20"/>
        </w:rPr>
        <w:t>7</w:t>
      </w:r>
      <w:r w:rsidRPr="00734AC1">
        <w:rPr>
          <w:rFonts w:ascii="Arial Narrow" w:hAnsi="Arial Narrow" w:cs="Arial"/>
          <w:b/>
          <w:sz w:val="20"/>
          <w:szCs w:val="20"/>
        </w:rPr>
        <w:t xml:space="preserve"> ---</w:t>
      </w:r>
    </w:p>
    <w:p w14:paraId="233CAD22" w14:textId="77777777" w:rsidR="00C94517" w:rsidRDefault="00C94517" w:rsidP="00C94517">
      <w:pPr>
        <w:pStyle w:val="Prrafodelista"/>
        <w:ind w:left="2977" w:firstLine="568"/>
        <w:rPr>
          <w:rFonts w:ascii="Arial Narrow" w:hAnsi="Arial Narrow" w:cs="Arial"/>
          <w:b/>
          <w:sz w:val="20"/>
          <w:szCs w:val="20"/>
        </w:rPr>
      </w:pPr>
    </w:p>
    <w:p w14:paraId="69CAC305" w14:textId="77777777" w:rsidR="002B31A1" w:rsidRDefault="002B31A1"/>
    <w:sectPr w:rsidR="002B31A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81296" w14:textId="77777777" w:rsidR="00D15A37" w:rsidRDefault="00D15A37" w:rsidP="00C94517">
      <w:r>
        <w:separator/>
      </w:r>
    </w:p>
  </w:endnote>
  <w:endnote w:type="continuationSeparator" w:id="0">
    <w:p w14:paraId="1E3DCD06" w14:textId="77777777" w:rsidR="00D15A37" w:rsidRDefault="00D15A37" w:rsidP="00C9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unito">
    <w:charset w:val="00"/>
    <w:family w:val="auto"/>
    <w:pitch w:val="variable"/>
    <w:sig w:usb0="A00002FF" w:usb1="5000204B" w:usb2="00000000" w:usb3="00000000" w:csb0="0000019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5"/>
      <w:gridCol w:w="4393"/>
    </w:tblGrid>
    <w:tr w:rsidR="003A3A93" w:rsidRPr="00963B15" w14:paraId="665540EE" w14:textId="77777777" w:rsidTr="00FE06FD">
      <w:tc>
        <w:tcPr>
          <w:tcW w:w="4602" w:type="dxa"/>
        </w:tcPr>
        <w:p w14:paraId="79C5B04F" w14:textId="77777777" w:rsidR="003A3A93" w:rsidRPr="00963B15" w:rsidRDefault="003A3A93" w:rsidP="003A3A93">
          <w:pPr>
            <w:textDirection w:val="btLr"/>
            <w:rPr>
              <w:rFonts w:ascii="Nunito" w:hAnsi="Nunito"/>
              <w:sz w:val="16"/>
              <w:szCs w:val="16"/>
            </w:rPr>
          </w:pPr>
          <w:r w:rsidRPr="00963B15">
            <w:rPr>
              <w:rFonts w:ascii="Nunito" w:eastAsia="Helvetica Neue" w:hAnsi="Nunito" w:cs="Helvetica Neue"/>
              <w:color w:val="000000"/>
              <w:sz w:val="16"/>
              <w:szCs w:val="16"/>
            </w:rPr>
            <w:t xml:space="preserve">Dirección: Carrera 12 No. 84 A - 12, </w:t>
          </w:r>
          <w:proofErr w:type="spellStart"/>
          <w:r w:rsidRPr="00963B15">
            <w:rPr>
              <w:rFonts w:ascii="Nunito" w:eastAsia="Helvetica Neue" w:hAnsi="Nunito" w:cs="Helvetica Neue"/>
              <w:color w:val="000000"/>
              <w:sz w:val="16"/>
              <w:szCs w:val="16"/>
            </w:rPr>
            <w:t>Of</w:t>
          </w:r>
          <w:proofErr w:type="spellEnd"/>
          <w:r w:rsidRPr="00963B15">
            <w:rPr>
              <w:rFonts w:ascii="Nunito" w:eastAsia="Helvetica Neue" w:hAnsi="Nunito" w:cs="Helvetica Neue"/>
              <w:color w:val="000000"/>
              <w:sz w:val="16"/>
              <w:szCs w:val="16"/>
            </w:rPr>
            <w:t>. 601 Bogotá D.C., Colombia</w:t>
          </w:r>
        </w:p>
        <w:p w14:paraId="3009BA77" w14:textId="77777777" w:rsidR="003A3A93" w:rsidRPr="00963B15" w:rsidRDefault="003A3A93" w:rsidP="003A3A93">
          <w:pPr>
            <w:textDirection w:val="btLr"/>
            <w:rPr>
              <w:rFonts w:ascii="Nunito" w:hAnsi="Nunito"/>
              <w:sz w:val="16"/>
              <w:szCs w:val="16"/>
            </w:rPr>
          </w:pPr>
          <w:r w:rsidRPr="00963B15">
            <w:rPr>
              <w:rFonts w:ascii="Nunito" w:eastAsia="Helvetica Neue" w:hAnsi="Nunito" w:cs="Helvetica Neue"/>
              <w:color w:val="000000"/>
              <w:sz w:val="16"/>
              <w:szCs w:val="16"/>
            </w:rPr>
            <w:t>Línea Gratuita: (601) 492 72 32</w:t>
          </w:r>
        </w:p>
        <w:p w14:paraId="00433323" w14:textId="77777777" w:rsidR="003A3A93" w:rsidRPr="00963B15" w:rsidRDefault="003A3A93" w:rsidP="003A3A93">
          <w:pPr>
            <w:ind w:right="26"/>
            <w:textDirection w:val="btLr"/>
            <w:rPr>
              <w:rFonts w:ascii="Nunito" w:hAnsi="Nunito"/>
              <w:sz w:val="16"/>
              <w:szCs w:val="16"/>
              <w:lang w:val="es-ES" w:eastAsia="es-ES_tradnl"/>
            </w:rPr>
          </w:pPr>
          <w:hyperlink r:id="rId1" w:history="1">
            <w:r w:rsidRPr="00963B15">
              <w:rPr>
                <w:rStyle w:val="Hipervnculo"/>
                <w:rFonts w:ascii="Nunito" w:eastAsia="Helvetica Neue" w:hAnsi="Nunito" w:cs="Helvetica Neue"/>
                <w:sz w:val="16"/>
                <w:szCs w:val="16"/>
              </w:rPr>
              <w:t>www.fenoge.gov.co</w:t>
            </w:r>
          </w:hyperlink>
          <w:r w:rsidRPr="00963B15">
            <w:rPr>
              <w:rStyle w:val="Hipervnculo"/>
              <w:rFonts w:ascii="Nunito" w:eastAsia="Helvetica Neue" w:hAnsi="Nunito" w:cs="Helvetica Neue"/>
              <w:sz w:val="16"/>
              <w:szCs w:val="16"/>
            </w:rPr>
            <w:t xml:space="preserve"> </w:t>
          </w:r>
        </w:p>
      </w:tc>
      <w:tc>
        <w:tcPr>
          <w:tcW w:w="4602" w:type="dxa"/>
        </w:tcPr>
        <w:p w14:paraId="2D0D7944" w14:textId="77777777" w:rsidR="003A3A93" w:rsidRDefault="003A3A93" w:rsidP="003A3A93">
          <w:pPr>
            <w:pBdr>
              <w:top w:val="nil"/>
              <w:left w:val="nil"/>
              <w:bottom w:val="nil"/>
              <w:right w:val="nil"/>
              <w:between w:val="nil"/>
            </w:pBdr>
            <w:tabs>
              <w:tab w:val="center" w:pos="4419"/>
              <w:tab w:val="right" w:pos="8838"/>
            </w:tabs>
            <w:jc w:val="right"/>
            <w:rPr>
              <w:rFonts w:ascii="Nunito" w:hAnsi="Nunito"/>
              <w:color w:val="444444"/>
              <w:sz w:val="13"/>
              <w:szCs w:val="13"/>
              <w:shd w:val="clear" w:color="auto" w:fill="FFFFFF"/>
              <w:lang w:val="es-ES" w:eastAsia="es-ES_tradnl"/>
            </w:rPr>
          </w:pPr>
          <w:r w:rsidRPr="00963B15">
            <w:rPr>
              <w:rFonts w:ascii="Nunito" w:hAnsi="Nunito"/>
              <w:color w:val="444444"/>
              <w:sz w:val="13"/>
              <w:szCs w:val="13"/>
              <w:shd w:val="clear" w:color="auto" w:fill="FFFFFF"/>
              <w:lang w:eastAsia="es-ES_tradnl"/>
            </w:rPr>
            <w:t>PE01-PR01-MD</w:t>
          </w:r>
          <w:r w:rsidRPr="00963B15">
            <w:rPr>
              <w:rFonts w:ascii="Nunito" w:hAnsi="Nunito"/>
              <w:color w:val="444444"/>
              <w:sz w:val="13"/>
              <w:szCs w:val="13"/>
              <w:shd w:val="clear" w:color="auto" w:fill="FFFFFF"/>
              <w:lang w:val="es-ES" w:eastAsia="es-ES_tradnl"/>
            </w:rPr>
            <w:t>1</w:t>
          </w:r>
          <w:r>
            <w:rPr>
              <w:rFonts w:ascii="Nunito" w:hAnsi="Nunito"/>
              <w:color w:val="444444"/>
              <w:sz w:val="13"/>
              <w:szCs w:val="13"/>
              <w:shd w:val="clear" w:color="auto" w:fill="FFFFFF"/>
              <w:lang w:val="es-ES_tradnl" w:eastAsia="es-ES_tradnl"/>
            </w:rPr>
            <w:t>0</w:t>
          </w:r>
          <w:r w:rsidRPr="00963B15">
            <w:rPr>
              <w:rFonts w:ascii="Nunito" w:hAnsi="Nunito"/>
              <w:color w:val="444444"/>
              <w:sz w:val="13"/>
              <w:szCs w:val="13"/>
              <w:shd w:val="clear" w:color="auto" w:fill="FFFFFF"/>
              <w:lang w:val="es-ES" w:eastAsia="es-ES_tradnl"/>
            </w:rPr>
            <w:t xml:space="preserve"> v</w:t>
          </w:r>
          <w:r>
            <w:rPr>
              <w:rFonts w:ascii="Nunito" w:hAnsi="Nunito"/>
              <w:color w:val="444444"/>
              <w:sz w:val="13"/>
              <w:szCs w:val="13"/>
              <w:shd w:val="clear" w:color="auto" w:fill="FFFFFF"/>
              <w:lang w:val="es-ES" w:eastAsia="es-ES_tradnl"/>
            </w:rPr>
            <w:t>3</w:t>
          </w:r>
        </w:p>
        <w:p w14:paraId="78F1FE57" w14:textId="77777777" w:rsidR="003A3A93" w:rsidRPr="00963B15" w:rsidRDefault="003A3A93" w:rsidP="003A3A93">
          <w:pPr>
            <w:pBdr>
              <w:top w:val="nil"/>
              <w:left w:val="nil"/>
              <w:bottom w:val="nil"/>
              <w:right w:val="nil"/>
              <w:between w:val="nil"/>
            </w:pBdr>
            <w:tabs>
              <w:tab w:val="center" w:pos="4419"/>
              <w:tab w:val="right" w:pos="8838"/>
            </w:tabs>
            <w:jc w:val="right"/>
            <w:rPr>
              <w:rFonts w:ascii="Nunito" w:hAnsi="Nunito"/>
              <w:color w:val="444444"/>
              <w:sz w:val="15"/>
              <w:szCs w:val="15"/>
              <w:shd w:val="clear" w:color="auto" w:fill="FFFFFF"/>
              <w:lang w:val="es-ES" w:eastAsia="es-ES_tradnl"/>
            </w:rPr>
          </w:pPr>
          <w:r>
            <w:rPr>
              <w:rFonts w:ascii="Nunito" w:hAnsi="Nunito"/>
              <w:color w:val="444444"/>
              <w:sz w:val="13"/>
              <w:szCs w:val="13"/>
              <w:shd w:val="clear" w:color="auto" w:fill="FFFFFF"/>
              <w:lang w:val="es-ES" w:eastAsia="es-ES_tradnl"/>
            </w:rPr>
            <w:t>27-06-2024</w:t>
          </w:r>
        </w:p>
        <w:p w14:paraId="76B7599F" w14:textId="77777777" w:rsidR="003A3A93" w:rsidRPr="00963B15" w:rsidRDefault="003A3A93" w:rsidP="003A3A93">
          <w:pPr>
            <w:pBdr>
              <w:top w:val="nil"/>
              <w:left w:val="nil"/>
              <w:bottom w:val="nil"/>
              <w:right w:val="nil"/>
              <w:between w:val="nil"/>
            </w:pBdr>
            <w:tabs>
              <w:tab w:val="center" w:pos="4419"/>
              <w:tab w:val="right" w:pos="8838"/>
            </w:tabs>
            <w:jc w:val="right"/>
            <w:rPr>
              <w:rFonts w:ascii="Nunito" w:hAnsi="Nunito"/>
              <w:color w:val="000000"/>
              <w:sz w:val="16"/>
              <w:szCs w:val="16"/>
              <w:lang w:val="es-ES"/>
            </w:rPr>
          </w:pPr>
        </w:p>
        <w:p w14:paraId="72F61914" w14:textId="77777777" w:rsidR="003A3A93" w:rsidRPr="00963B15" w:rsidRDefault="003A3A93" w:rsidP="003A3A93">
          <w:pPr>
            <w:pBdr>
              <w:top w:val="nil"/>
              <w:left w:val="nil"/>
              <w:bottom w:val="nil"/>
              <w:right w:val="nil"/>
              <w:between w:val="nil"/>
            </w:pBdr>
            <w:tabs>
              <w:tab w:val="center" w:pos="4419"/>
              <w:tab w:val="right" w:pos="8838"/>
            </w:tabs>
            <w:jc w:val="right"/>
            <w:rPr>
              <w:rFonts w:ascii="Nunito" w:hAnsi="Nunito"/>
              <w:color w:val="000000"/>
              <w:sz w:val="16"/>
              <w:szCs w:val="16"/>
            </w:rPr>
          </w:pPr>
        </w:p>
        <w:p w14:paraId="662CF8E4" w14:textId="77777777" w:rsidR="003A3A93" w:rsidRPr="00963B15" w:rsidRDefault="003A3A93" w:rsidP="003A3A93">
          <w:pPr>
            <w:pBdr>
              <w:top w:val="nil"/>
              <w:left w:val="nil"/>
              <w:bottom w:val="nil"/>
              <w:right w:val="nil"/>
              <w:between w:val="nil"/>
            </w:pBdr>
            <w:tabs>
              <w:tab w:val="center" w:pos="4419"/>
              <w:tab w:val="right" w:pos="8838"/>
            </w:tabs>
            <w:jc w:val="right"/>
            <w:rPr>
              <w:rFonts w:ascii="Nunito" w:hAnsi="Nunito"/>
              <w:color w:val="000000"/>
              <w:sz w:val="16"/>
              <w:szCs w:val="16"/>
            </w:rPr>
          </w:pPr>
          <w:r w:rsidRPr="00963B15">
            <w:rPr>
              <w:rFonts w:ascii="Nunito" w:hAnsi="Nunito"/>
              <w:color w:val="000000"/>
              <w:sz w:val="16"/>
              <w:szCs w:val="16"/>
            </w:rPr>
            <w:t xml:space="preserve">Página | </w:t>
          </w:r>
          <w:r w:rsidRPr="00963B15">
            <w:rPr>
              <w:rFonts w:ascii="Nunito" w:hAnsi="Nunito"/>
              <w:color w:val="000000"/>
              <w:sz w:val="16"/>
              <w:szCs w:val="16"/>
            </w:rPr>
            <w:fldChar w:fldCharType="begin"/>
          </w:r>
          <w:r w:rsidRPr="00963B15">
            <w:rPr>
              <w:rFonts w:ascii="Nunito" w:hAnsi="Nunito"/>
              <w:color w:val="000000"/>
              <w:sz w:val="16"/>
              <w:szCs w:val="16"/>
            </w:rPr>
            <w:instrText>PAGE</w:instrText>
          </w:r>
          <w:r w:rsidRPr="00963B15">
            <w:rPr>
              <w:rFonts w:ascii="Nunito" w:hAnsi="Nunito"/>
              <w:color w:val="000000"/>
              <w:sz w:val="16"/>
              <w:szCs w:val="16"/>
            </w:rPr>
            <w:fldChar w:fldCharType="separate"/>
          </w:r>
          <w:r w:rsidRPr="00963B15">
            <w:rPr>
              <w:rFonts w:ascii="Nunito" w:hAnsi="Nunito"/>
              <w:color w:val="000000"/>
              <w:sz w:val="16"/>
              <w:szCs w:val="16"/>
            </w:rPr>
            <w:t>1</w:t>
          </w:r>
          <w:r w:rsidRPr="00963B15">
            <w:rPr>
              <w:rFonts w:ascii="Nunito" w:hAnsi="Nunito"/>
              <w:color w:val="000000"/>
              <w:sz w:val="16"/>
              <w:szCs w:val="16"/>
            </w:rPr>
            <w:fldChar w:fldCharType="end"/>
          </w:r>
          <w:r w:rsidRPr="00963B15">
            <w:rPr>
              <w:rFonts w:ascii="Nunito" w:hAnsi="Nunito"/>
              <w:color w:val="000000"/>
              <w:sz w:val="16"/>
              <w:szCs w:val="16"/>
            </w:rPr>
            <w:t xml:space="preserve"> </w:t>
          </w:r>
        </w:p>
      </w:tc>
    </w:tr>
  </w:tbl>
  <w:p w14:paraId="6FA8DF32" w14:textId="77777777" w:rsidR="003A3A93" w:rsidRDefault="003A3A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8138" w14:textId="77777777" w:rsidR="00D15A37" w:rsidRDefault="00D15A37" w:rsidP="00C94517">
      <w:r>
        <w:separator/>
      </w:r>
    </w:p>
  </w:footnote>
  <w:footnote w:type="continuationSeparator" w:id="0">
    <w:p w14:paraId="35750528" w14:textId="77777777" w:rsidR="00D15A37" w:rsidRDefault="00D15A37" w:rsidP="00C94517">
      <w:r>
        <w:continuationSeparator/>
      </w:r>
    </w:p>
  </w:footnote>
  <w:footnote w:id="1">
    <w:p w14:paraId="655391C4" w14:textId="77777777" w:rsidR="00C94517" w:rsidRPr="00494E7B" w:rsidRDefault="00C94517" w:rsidP="00C94517">
      <w:pPr>
        <w:pStyle w:val="Textonotapie"/>
        <w:ind w:left="284" w:hanging="284"/>
        <w:rPr>
          <w:rFonts w:ascii="Arial Narrow" w:hAnsi="Arial Narrow"/>
          <w:sz w:val="18"/>
          <w:szCs w:val="18"/>
        </w:rPr>
      </w:pPr>
      <w:r>
        <w:rPr>
          <w:rStyle w:val="Refdenotaalpie"/>
        </w:rPr>
        <w:footnoteRef/>
      </w:r>
      <w:r>
        <w:tab/>
      </w:r>
      <w:r w:rsidRPr="00494E7B">
        <w:rPr>
          <w:rFonts w:ascii="Arial Narrow" w:hAnsi="Arial Narrow"/>
          <w:sz w:val="18"/>
          <w:szCs w:val="18"/>
        </w:rPr>
        <w:t xml:space="preserve">En el sitio virtual del Banco (www.iadb.org/integrity) se facilita información sobre cómo denunciar la supuesta comisión de Prácticas Prohibidas, las normas aplicables al proceso de investigación y sanción y el convenio que rige el reconocimiento recíproco de sanciones entre instituciones financieras internacionales.  </w:t>
      </w:r>
    </w:p>
  </w:footnote>
  <w:footnote w:id="2">
    <w:p w14:paraId="520BFBEC" w14:textId="77777777" w:rsidR="00C94517" w:rsidRPr="00494E7B" w:rsidRDefault="00C94517" w:rsidP="00C94517">
      <w:pPr>
        <w:pStyle w:val="Textonotapie"/>
        <w:ind w:left="284" w:hanging="284"/>
        <w:rPr>
          <w:rFonts w:ascii="Arial Narrow" w:hAnsi="Arial Narrow"/>
          <w:sz w:val="18"/>
          <w:szCs w:val="18"/>
        </w:rPr>
      </w:pPr>
      <w:r>
        <w:rPr>
          <w:rStyle w:val="Refdenotaalpie"/>
        </w:rPr>
        <w:footnoteRef/>
      </w:r>
      <w:r>
        <w:tab/>
      </w:r>
      <w:r w:rsidRPr="00494E7B">
        <w:rPr>
          <w:rFonts w:ascii="Arial Narrow" w:hAnsi="Arial Narrow"/>
          <w:sz w:val="18"/>
          <w:szCs w:val="18"/>
        </w:rPr>
        <w:t xml:space="preserve">Un </w:t>
      </w:r>
      <w:proofErr w:type="spellStart"/>
      <w:r w:rsidRPr="00494E7B">
        <w:rPr>
          <w:rFonts w:ascii="Arial Narrow" w:hAnsi="Arial Narrow"/>
          <w:sz w:val="18"/>
          <w:szCs w:val="18"/>
        </w:rPr>
        <w:t>subconsultor</w:t>
      </w:r>
      <w:proofErr w:type="spellEnd"/>
      <w:r w:rsidRPr="00494E7B">
        <w:rPr>
          <w:rFonts w:ascii="Arial Narrow" w:hAnsi="Arial Narrow"/>
          <w:sz w:val="18"/>
          <w:szCs w:val="18"/>
        </w:rPr>
        <w:t>,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 w:id="3">
    <w:p w14:paraId="30CC5FE8" w14:textId="77777777" w:rsidR="00C94517" w:rsidRPr="00494E7B" w:rsidRDefault="00C94517" w:rsidP="00C94517">
      <w:pPr>
        <w:pStyle w:val="Textonotapie"/>
        <w:ind w:left="284" w:hanging="284"/>
        <w:jc w:val="both"/>
        <w:rPr>
          <w:rFonts w:ascii="Arial Narrow" w:hAnsi="Arial Narrow"/>
          <w:lang w:val="es-MX"/>
        </w:rPr>
      </w:pPr>
      <w:r w:rsidRPr="00494E7B">
        <w:rPr>
          <w:rStyle w:val="Refdenotaalpie"/>
          <w:rFonts w:ascii="Arial Narrow" w:hAnsi="Arial Narrow"/>
          <w:sz w:val="18"/>
          <w:szCs w:val="18"/>
        </w:rPr>
        <w:footnoteRef/>
      </w:r>
      <w:r w:rsidRPr="00494E7B">
        <w:rPr>
          <w:rFonts w:ascii="Arial Narrow" w:hAnsi="Arial Narrow"/>
          <w:sz w:val="18"/>
          <w:szCs w:val="18"/>
        </w:rPr>
        <w:tab/>
        <w:t>Como ejemplo, dicha declaratoria jurada podría decir como sigue: “Declaramos que, al competir en (y, si somos sujetos de una adjudicación, al ejecutar) el contrato antes mencionado, observaremos estrictamente las leyes y el sistema de sanciones contra prácticas prohibidas (incluido el soborno) vigentes en el país del [contratante], y las regulaciones y sanciones de un organismo multilateral o bilateral de desarrollo u organización internacional, en calidad de cofinanciador, conforme esas leyes y regulaciones hayan sido incluidas por el [contratante] en los documentos de licitación para este contrato y, sin perjuicio de los procedimientos del Banco para tratar casos de Prácticas Prohibidas, a acatar las normas administrativas de [autoridad correspondiente] para conocer y resolver todos los casos relacionados con procedimientos de adquisiciones”.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EBDB" w14:textId="77777777" w:rsidR="003A3A93" w:rsidRDefault="003A3A93" w:rsidP="003A3A93">
    <w:pPr>
      <w:pStyle w:val="Encabezado"/>
      <w:jc w:val="center"/>
    </w:pPr>
    <w:r>
      <w:rPr>
        <w:noProof/>
      </w:rPr>
      <w:drawing>
        <wp:inline distT="0" distB="0" distL="0" distR="0" wp14:anchorId="205FA2F0" wp14:editId="0FFA83D8">
          <wp:extent cx="1441955" cy="900000"/>
          <wp:effectExtent l="0" t="0" r="0" b="0"/>
          <wp:docPr id="3"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Logotipo&#10;&#10;Descripción generada automáticamente"/>
                  <pic:cNvPicPr/>
                </pic:nvPicPr>
                <pic:blipFill rotWithShape="1">
                  <a:blip r:embed="rId1">
                    <a:extLst>
                      <a:ext uri="{28A0092B-C50C-407E-A947-70E740481C1C}">
                        <a14:useLocalDpi xmlns:a14="http://schemas.microsoft.com/office/drawing/2010/main" val="0"/>
                      </a:ext>
                    </a:extLst>
                  </a:blip>
                  <a:srcRect t="13696" b="14235"/>
                  <a:stretch/>
                </pic:blipFill>
                <pic:spPr bwMode="auto">
                  <a:xfrm>
                    <a:off x="0" y="0"/>
                    <a:ext cx="1441955" cy="90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A704"/>
    <w:multiLevelType w:val="hybridMultilevel"/>
    <w:tmpl w:val="24B6B230"/>
    <w:lvl w:ilvl="0" w:tplc="89B44E80">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DD20B4"/>
    <w:multiLevelType w:val="hybridMultilevel"/>
    <w:tmpl w:val="BB62193C"/>
    <w:lvl w:ilvl="0" w:tplc="38626840">
      <w:start w:val="1"/>
      <w:numFmt w:val="lowerRoman"/>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836FEA4"/>
    <w:multiLevelType w:val="hybridMultilevel"/>
    <w:tmpl w:val="C37E2F7C"/>
    <w:lvl w:ilvl="0" w:tplc="38626840">
      <w:start w:val="1"/>
      <w:numFmt w:val="lowerRoman"/>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6FD2AED"/>
    <w:multiLevelType w:val="hybridMultilevel"/>
    <w:tmpl w:val="F16AF9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B24E72"/>
    <w:multiLevelType w:val="multilevel"/>
    <w:tmpl w:val="7BA25662"/>
    <w:lvl w:ilvl="0">
      <w:start w:val="1"/>
      <w:numFmt w:val="decimal"/>
      <w:lvlText w:val="%1"/>
      <w:lvlJc w:val="left"/>
      <w:pPr>
        <w:ind w:left="495" w:hanging="495"/>
      </w:pPr>
      <w:rPr>
        <w:rFonts w:hint="default"/>
      </w:rPr>
    </w:lvl>
    <w:lvl w:ilvl="1">
      <w:start w:val="1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E4E4A22"/>
    <w:multiLevelType w:val="hybridMultilevel"/>
    <w:tmpl w:val="C37E2F7C"/>
    <w:lvl w:ilvl="0" w:tplc="38626840">
      <w:start w:val="1"/>
      <w:numFmt w:val="lowerRoman"/>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46699268">
    <w:abstractNumId w:val="0"/>
  </w:num>
  <w:num w:numId="2" w16cid:durableId="207452540">
    <w:abstractNumId w:val="2"/>
  </w:num>
  <w:num w:numId="3" w16cid:durableId="1203055592">
    <w:abstractNumId w:val="1"/>
  </w:num>
  <w:num w:numId="4" w16cid:durableId="269315770">
    <w:abstractNumId w:val="5"/>
  </w:num>
  <w:num w:numId="5" w16cid:durableId="983194537">
    <w:abstractNumId w:val="4"/>
  </w:num>
  <w:num w:numId="6" w16cid:durableId="913513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17"/>
    <w:rsid w:val="002B31A1"/>
    <w:rsid w:val="003A3A93"/>
    <w:rsid w:val="00400A99"/>
    <w:rsid w:val="005B464C"/>
    <w:rsid w:val="00637525"/>
    <w:rsid w:val="00771BE8"/>
    <w:rsid w:val="0079686B"/>
    <w:rsid w:val="00B0355F"/>
    <w:rsid w:val="00C94517"/>
    <w:rsid w:val="00D15A37"/>
    <w:rsid w:val="00E22FA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83B58"/>
  <w15:chartTrackingRefBased/>
  <w15:docId w15:val="{6010DA33-5C02-4C88-B0E7-C4084D61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51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aliases w:val="Document Header1"/>
    <w:basedOn w:val="Normal"/>
    <w:next w:val="Normal"/>
    <w:link w:val="Ttulo1Car"/>
    <w:qFormat/>
    <w:rsid w:val="00C945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945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9451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9451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9451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9451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9451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9451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9451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uiPriority w:val="9"/>
    <w:rsid w:val="00C9451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9451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9451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9451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9451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9451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9451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9451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94517"/>
    <w:rPr>
      <w:rFonts w:eastAsiaTheme="majorEastAsia" w:cstheme="majorBidi"/>
      <w:color w:val="272727" w:themeColor="text1" w:themeTint="D8"/>
    </w:rPr>
  </w:style>
  <w:style w:type="paragraph" w:styleId="Ttulo">
    <w:name w:val="Title"/>
    <w:basedOn w:val="Normal"/>
    <w:next w:val="Normal"/>
    <w:link w:val="TtuloCar"/>
    <w:uiPriority w:val="10"/>
    <w:qFormat/>
    <w:rsid w:val="00C9451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9451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9451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9451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94517"/>
    <w:pPr>
      <w:spacing w:before="160"/>
      <w:jc w:val="center"/>
    </w:pPr>
    <w:rPr>
      <w:i/>
      <w:iCs/>
      <w:color w:val="404040" w:themeColor="text1" w:themeTint="BF"/>
    </w:rPr>
  </w:style>
  <w:style w:type="character" w:customStyle="1" w:styleId="CitaCar">
    <w:name w:val="Cita Car"/>
    <w:basedOn w:val="Fuentedeprrafopredeter"/>
    <w:link w:val="Cita"/>
    <w:uiPriority w:val="29"/>
    <w:rsid w:val="00C94517"/>
    <w:rPr>
      <w:i/>
      <w:iCs/>
      <w:color w:val="404040" w:themeColor="text1" w:themeTint="BF"/>
    </w:rPr>
  </w:style>
  <w:style w:type="paragraph" w:styleId="Prrafodelista">
    <w:name w:val="List Paragraph"/>
    <w:aliases w:val="Fluvial1,titulo 3,List Paragraph,Párrafo de lista1,Liste 1,Bullets,References,Bolita,BOLA,BOLADEF,Titulo 5,HOJA,Guión,Párrafo de lista3,Párrafo de lista21,Titulo 8,Párrafo de lista31,ViÃ±eta 2,Colorful List Accent 1,Viñetas,Ha,numbered"/>
    <w:basedOn w:val="Normal"/>
    <w:link w:val="PrrafodelistaCar"/>
    <w:uiPriority w:val="34"/>
    <w:qFormat/>
    <w:rsid w:val="00C94517"/>
    <w:pPr>
      <w:ind w:left="720"/>
      <w:contextualSpacing/>
    </w:pPr>
  </w:style>
  <w:style w:type="character" w:styleId="nfasisintenso">
    <w:name w:val="Intense Emphasis"/>
    <w:basedOn w:val="Fuentedeprrafopredeter"/>
    <w:uiPriority w:val="21"/>
    <w:qFormat/>
    <w:rsid w:val="00C94517"/>
    <w:rPr>
      <w:i/>
      <w:iCs/>
      <w:color w:val="2F5496" w:themeColor="accent1" w:themeShade="BF"/>
    </w:rPr>
  </w:style>
  <w:style w:type="paragraph" w:styleId="Citadestacada">
    <w:name w:val="Intense Quote"/>
    <w:basedOn w:val="Normal"/>
    <w:next w:val="Normal"/>
    <w:link w:val="CitadestacadaCar"/>
    <w:uiPriority w:val="30"/>
    <w:qFormat/>
    <w:rsid w:val="00C945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94517"/>
    <w:rPr>
      <w:i/>
      <w:iCs/>
      <w:color w:val="2F5496" w:themeColor="accent1" w:themeShade="BF"/>
    </w:rPr>
  </w:style>
  <w:style w:type="character" w:styleId="Referenciaintensa">
    <w:name w:val="Intense Reference"/>
    <w:basedOn w:val="Fuentedeprrafopredeter"/>
    <w:uiPriority w:val="32"/>
    <w:qFormat/>
    <w:rsid w:val="00C94517"/>
    <w:rPr>
      <w:b/>
      <w:bCs/>
      <w:smallCaps/>
      <w:color w:val="2F5496" w:themeColor="accent1" w:themeShade="BF"/>
      <w:spacing w:val="5"/>
    </w:rPr>
  </w:style>
  <w:style w:type="character" w:customStyle="1" w:styleId="PrrafodelistaCar">
    <w:name w:val="Párrafo de lista Car"/>
    <w:aliases w:val="Fluvial1 Car,titulo 3 Car,List Paragraph Car,Párrafo de lista1 Car,Liste 1 Car,Bullets Car,References Car,Bolita Car,BOLA Car,BOLADEF Car,Titulo 5 Car,HOJA Car,Guión Car,Párrafo de lista3 Car,Párrafo de lista21 Car,Titulo 8 Car"/>
    <w:link w:val="Prrafodelista"/>
    <w:uiPriority w:val="34"/>
    <w:qFormat/>
    <w:rsid w:val="00C94517"/>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TextonotapieCar"/>
    <w:uiPriority w:val="99"/>
    <w:qFormat/>
    <w:rsid w:val="00C94517"/>
    <w:rPr>
      <w:sz w:val="20"/>
      <w:szCs w:val="20"/>
      <w:lang w:eastAsia="en-U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C94517"/>
    <w:rPr>
      <w:rFonts w:ascii="Times New Roman" w:eastAsia="Times New Roman" w:hAnsi="Times New Roman" w:cs="Times New Roman"/>
      <w:kern w:val="0"/>
      <w:sz w:val="20"/>
      <w:szCs w:val="20"/>
      <w14:ligatures w14:val="none"/>
    </w:rPr>
  </w:style>
  <w:style w:type="character" w:styleId="Refdenotaalpie">
    <w:name w:val="footnote reference"/>
    <w:aliases w:val="titulo 2,Style 24,pie pddes,referencia nota al pie,Texto de nota al pie,Ref,de nota al pie,Nota de pie,Texto nota al pie,de nota al pi,Ref. de nota al pie2,Massilia Footnote Reference,Massilia Footnote Referen,Footnote symbol,Footnot"/>
    <w:uiPriority w:val="99"/>
    <w:rsid w:val="00C94517"/>
    <w:rPr>
      <w:vertAlign w:val="superscript"/>
    </w:rPr>
  </w:style>
  <w:style w:type="character" w:customStyle="1" w:styleId="Ttulo1Car1">
    <w:name w:val="Título 1 Car1"/>
    <w:aliases w:val="Document Header1 Car1"/>
    <w:rsid w:val="00C94517"/>
    <w:rPr>
      <w:rFonts w:ascii="Calibri Light" w:eastAsia="Times New Roman" w:hAnsi="Calibri Light" w:cs="Times New Roman"/>
      <w:b/>
      <w:bCs/>
      <w:kern w:val="32"/>
      <w:sz w:val="32"/>
      <w:szCs w:val="32"/>
    </w:rPr>
  </w:style>
  <w:style w:type="paragraph" w:styleId="Encabezado">
    <w:name w:val="header"/>
    <w:basedOn w:val="Normal"/>
    <w:link w:val="EncabezadoCar"/>
    <w:uiPriority w:val="99"/>
    <w:unhideWhenUsed/>
    <w:rsid w:val="003A3A93"/>
    <w:pPr>
      <w:tabs>
        <w:tab w:val="center" w:pos="4419"/>
        <w:tab w:val="right" w:pos="8838"/>
      </w:tabs>
    </w:pPr>
  </w:style>
  <w:style w:type="character" w:customStyle="1" w:styleId="EncabezadoCar">
    <w:name w:val="Encabezado Car"/>
    <w:basedOn w:val="Fuentedeprrafopredeter"/>
    <w:link w:val="Encabezado"/>
    <w:uiPriority w:val="99"/>
    <w:rsid w:val="003A3A93"/>
    <w:rPr>
      <w:rFonts w:ascii="Times New Roman" w:eastAsia="Times New Roman" w:hAnsi="Times New Roman" w:cs="Times New Roman"/>
      <w:kern w:val="0"/>
      <w:sz w:val="24"/>
      <w:szCs w:val="24"/>
      <w:lang w:eastAsia="es-CO"/>
      <w14:ligatures w14:val="none"/>
    </w:rPr>
  </w:style>
  <w:style w:type="paragraph" w:styleId="Piedepgina">
    <w:name w:val="footer"/>
    <w:basedOn w:val="Normal"/>
    <w:link w:val="PiedepginaCar"/>
    <w:uiPriority w:val="99"/>
    <w:unhideWhenUsed/>
    <w:rsid w:val="003A3A93"/>
    <w:pPr>
      <w:tabs>
        <w:tab w:val="center" w:pos="4419"/>
        <w:tab w:val="right" w:pos="8838"/>
      </w:tabs>
    </w:pPr>
  </w:style>
  <w:style w:type="character" w:customStyle="1" w:styleId="PiedepginaCar">
    <w:name w:val="Pie de página Car"/>
    <w:basedOn w:val="Fuentedeprrafopredeter"/>
    <w:link w:val="Piedepgina"/>
    <w:uiPriority w:val="99"/>
    <w:rsid w:val="003A3A93"/>
    <w:rPr>
      <w:rFonts w:ascii="Times New Roman" w:eastAsia="Times New Roman" w:hAnsi="Times New Roman" w:cs="Times New Roman"/>
      <w:kern w:val="0"/>
      <w:sz w:val="24"/>
      <w:szCs w:val="24"/>
      <w:lang w:eastAsia="es-CO"/>
      <w14:ligatures w14:val="none"/>
    </w:rPr>
  </w:style>
  <w:style w:type="character" w:styleId="Hipervnculo">
    <w:name w:val="Hyperlink"/>
    <w:basedOn w:val="Fuentedeprrafopredeter"/>
    <w:uiPriority w:val="99"/>
    <w:unhideWhenUsed/>
    <w:rsid w:val="003A3A93"/>
    <w:rPr>
      <w:color w:val="0563C1" w:themeColor="hyperlink"/>
      <w:u w:val="single"/>
    </w:rPr>
  </w:style>
  <w:style w:type="table" w:styleId="Tablaconcuadrcula">
    <w:name w:val="Table Grid"/>
    <w:basedOn w:val="Tablanormal"/>
    <w:uiPriority w:val="39"/>
    <w:rsid w:val="003A3A93"/>
    <w:pPr>
      <w:spacing w:after="0" w:line="240" w:lineRule="auto"/>
    </w:pPr>
    <w:rPr>
      <w:rFonts w:ascii="Calibri" w:eastAsia="Calibri" w:hAnsi="Calibri" w:cs="Calibri"/>
      <w:kern w:val="0"/>
      <w:sz w:val="24"/>
      <w:szCs w:val="24"/>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enog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838</TotalTime>
  <Pages>4</Pages>
  <Words>1965</Words>
  <Characters>10808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Lucía García Gutierrez</dc:creator>
  <cp:keywords/>
  <dc:description/>
  <cp:lastModifiedBy>Ana Lucía García Gutierrez</cp:lastModifiedBy>
  <cp:revision>3</cp:revision>
  <dcterms:created xsi:type="dcterms:W3CDTF">2025-07-24T22:17:00Z</dcterms:created>
  <dcterms:modified xsi:type="dcterms:W3CDTF">2025-10-21T21:07:00Z</dcterms:modified>
</cp:coreProperties>
</file>